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t xml:space="preserve">三角形旁心到三邊所在直線距離相等</w:t>
      </w:r>
    </w:p>
    <w:p>
      <w:pPr>
        <w:pStyle w:val="Heading2"/>
      </w:pPr>
      <w:r>
        <w:t xml:space="preserve">A 旁心是 A 角平分線與 B、C 外角平分線的交點；它到三邊所在直線的距離相等，因此是 A 旁切圓的圓心。</w:t>
      </w:r>
    </w:p>
    <w:p>
      <w:pPr>
        <w:pStyle w:val="Heading1"/>
      </w:pPr>
      <w:r>
        <w:t xml:space="preserve">定理</w:t>
      </w:r>
    </w:p>
    <w:p>
      <w:pPr>
        <w:pStyle w:val="Normal"/>
      </w:pPr>
      <w:r>
        <w:t xml:space="preserve">A 旁心是 A 角平分線與 B、C 外角平分線的交點；它到三邊所在直線的距離相等，因此是 A 旁切圓的圓心。</w:t>
      </w:r>
    </w:p>
    <w:p>
      <w:pPr>
        <w:pStyle w:val="Heading1"/>
      </w:pPr>
      <w:r>
        <w:t xml:space="preserve">證明</w:t>
      </w:r>
    </w:p>
    <w:p>
      <w:pPr>
        <w:pStyle w:val="Normal"/>
      </w:pPr>
      <w:r>
        <w:t xml:space="preserve">設 Iₐ 為 ∠A 的內角平分線與 ∠B 的一條外角平分線交點。從 Iₐ 向 AB、AC、BC 三邊所在直線作垂線，垂足分別為 D、E、F。</w:t>
      </w:r>
    </w:p>
    <w:p>
      <w:pPr>
        <w:pStyle w:val="Normal"/>
      </w:pPr>
      <w:r>
        <w:t xml:space="preserve">點在角平分線上，到角兩邊所在直線的距離相等。因 Iₐ 在 A 的內角平分線上，所以 ID＝IE；因 Iₐ 在 B 的外角平分線上，所以到 BA、BC 所在直線的距離相等，即 ID＝IF。</w:t>
      </w:r>
    </w:p>
    <w:p>
      <w:pPr>
        <w:pStyle w:val="Normal"/>
      </w:pPr>
      <w:r>
        <w:t xml:space="preserve">此處 E 在 AC 的延長線上（越過 C），F 在線段 BC 上。連接 IₐC。因 IₐE⊥AC、IₐF⊥BC，△IₐEC 與 △IₐFC 都是直角三角形；它們有共同斜邊 IₐC，且直角邊 IₐE＝IₐF。</w:t>
      </w:r>
    </w:p>
    <w:p>
      <w:pPr>
        <w:pStyle w:val="Normal"/>
      </w:pPr>
      <w:r>
        <w:t xml:space="preserve">依 RHS 全等，△IₐEC≅△IₐFC，所以 ∠IₐCE＝∠IₐCF。射線 CE 是 CA 的反向延長線，而 CF 與 CB 同向，因此 CIₐ 平分 C 的外角；第三條角平分線也通過 Iₐ。</w:t>
      </w:r>
    </w:p>
    <w:p>
      <w:pPr>
        <w:pStyle w:val="Normal"/>
      </w:pPr>
      <w:r>
        <w:t xml:space="preserve">於是 ID＝IE＝IF。以 Iₐ 為圓心、ID 為半徑的圓同時與三邊所在直線相切。這個圓會與一邊及另外兩邊的延長線相切，稱為旁切圓，Iₐ 是 A 旁心。</w:t>
      </w:r>
    </w:p>
    <w:p>
      <w:pPr>
        <w:pStyle w:val="Heading1"/>
      </w:pPr>
      <w:r>
        <w:t xml:space="preserve">示意圖</w:t>
      </w:r>
    </w:p>
    <w:p>
      <w:pPr>
        <w:jc w:val="center"/>
      </w:pPr>
      <w:r>
        <w:drawing>
          <ns1:inline>
            <ns1:extent cx="2286000" cy="3474720"/>
            <ns1:docPr id="1" name="幾何示意圖"/>
            <ns2:graphic>
              <ns2:graphicData uri="http://schemas.openxmlformats.org/drawingml/2006/picture">
                <ns3:pic>
                  <ns3:nvPicPr>
                    <ns3:cNvPr id="0" name="diagram.svg"/>
                    <ns3:cNvPicPr/>
                  </ns3:nvPicPr>
                  <ns3:blipFill>
                    <ns2:blip ns4:embed="rId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2286000" cy="347472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Normal"/>
      </w:pPr>
      <w:r>
        <w:t xml:space="preserve">圖為依本證明條件繪製的示意圖，非依比例。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eastAsia="Microsoft JhengHei" w:ascii="Aptos" w:hAnsi="Aptos"/>
        <w:sz w:val="22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6"/>
      <w:color w:val="16324F"/>
    </w:rPr>
  </w:style>
  <w:style w:type="paragraph" w:styleId="Heading1">
    <w:name w:val="heading 1"/>
    <w:rPr>
      <w:b/>
      <w:sz w:val="26"/>
      <w:color w:val="1D4ED8"/>
    </w:rPr>
  </w:style>
  <w:style w:type="paragraph" w:styleId="Heading2">
    <w:name w:val="heading 2"/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