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Normal"/>
      </w:pPr>
      <w:r>
        <w:t xml:space="preserve">title</w:t>
      </w:r>
    </w:p>
    <w:p>
      <w:pPr>
        <w:pStyle w:val="Normal"/>
      </w:pPr>
      <w:r>
        <w:t xml:space="preserve">subtitle</w:t>
      </w:r>
    </w:p>
    <w:p>
      <w:pPr>
        <w:pStyle w:val="Heading1"/>
      </w:pPr>
      <w:r>
        <w:t xml:space="preserve">立方和公式</w:t>
      </w:r>
    </w:p>
    <w:p>
      <w:pPr>
        <w:pStyle w:val="Normal"/>
      </w:pPr>
      <w:r>
        <w:t xml:space="preserve">對正整數 n：</w:t>
      </w:r>
    </w:p>
    <w:p>
      <w:pPr>
        <w:pStyle w:val="Equation"/>
      </w:pPr>
      <w:r>
        <w:t xml:space="preserve">1³＋2³＋…＋n³＝[n(n＋1)／2]²</w:t>
      </w:r>
    </w:p>
    <w:p>
      <w:pPr>
        <w:pStyle w:val="Heading1"/>
      </w:pPr>
      <w:r>
        <w:t xml:space="preserve">證明 相鄰平方差</w:t>
      </w:r>
    </w:p>
    <w:p>
      <w:pPr>
        <w:pStyle w:val="Normal"/>
      </w:pPr>
      <w:r>
        <w:t xml:space="preserve">令 Tₖ＝k(k＋1)／2，這是前 k 個正整數的和。考慮相鄰兩個三角數的平方差：</w:t>
      </w:r>
    </w:p>
    <w:p>
      <w:pPr>
        <w:pStyle w:val="Equation"/>
      </w:pPr>
      <w:r>
        <w:t xml:space="preserve">Tₖ²−Tₖ₋₁²＝[k(k＋1)／2]²−[(k−1)k／2]²</w:t>
      </w:r>
    </w:p>
    <w:p>
      <w:pPr>
        <w:pStyle w:val="Equation"/>
      </w:pPr>
      <w:r>
        <w:t xml:space="preserve">＝k²[(k＋1)²−(k−1)²]／4＝k²·4k／4＝k³</w:t>
      </w:r>
    </w:p>
    <w:p>
      <w:pPr>
        <w:pStyle w:val="Normal"/>
      </w:pPr>
      <w:r>
        <w:t xml:space="preserve">把 k＝1 到 n 的等式相加，左側望遠鏡消去：</w:t>
      </w:r>
    </w:p>
    <w:p>
      <w:pPr>
        <w:pStyle w:val="Equation"/>
      </w:pPr>
      <w:r>
        <w:t xml:space="preserve">Σₖ₌₁ⁿ k³＝Tₙ²−T₀²＝[n(n＋1)／2]²</w:t>
      </w:r>
    </w:p>
    <w:p>
      <w:pPr>
        <w:pStyle w:val="Normal"/>
      </w:pPr>
      <w:r>
        <w:t xml:space="preserve">因 T₀＝0，公式成立。這個證明也說明立方和為何會出現三角數的平方。</w:t>
      </w:r>
    </w:p>
    <w:p>
      <w:pPr>
        <w:pStyle w:val="Heading1"/>
      </w:pPr>
      <w:r>
        <w:t xml:space="preserve">幾何拼圖解讀</w:t>
      </w:r>
    </w:p>
    <w:p>
      <w:pPr>
        <w:pStyle w:val="Normal"/>
      </w:pPr>
      <w:r>
        <w:t xml:space="preserve">令 Tₖ=k(k＋1)／2。從邊長 Tₖ₋₁ 的正方形擴成邊長 Tₖ=Tₖ₋₁＋k 的正方形，新增加的 L 形區域可分成一條 k×Tₖ 的長方形帶，以及一條 k×Tₖ₋₁ 的長方形帶。</w:t>
      </w:r>
    </w:p>
    <w:p>
      <w:pPr>
        <w:pStyle w:val="Normal"/>
      </w:pPr>
      <w:r>
        <w:t xml:space="preserve">這一層的面積為 kTₖ＋kTₖ₋₁=k(Tₖ＋Tₖ₋₁)=k·k²=k³。從 T₀=0 開始逐層拼到 Tₙ，每一層不重疊地填滿外側正方形，所以總面積 Tₙ²=1³＋2³＋…＋n³。這是平方拼圖的面積版本，與前面的代數望遠鏡證明互相呼應。</w:t>
      </w:r>
    </w:p>
    <w:p>
      <w:pPr>
        <w:pStyle w:val="Heading1"/>
      </w:pPr>
      <w:r>
        <w:t xml:space="preserve">例題</w:t>
      </w:r>
    </w:p>
    <w:p>
      <w:pPr>
        <w:pStyle w:val="Normal"/>
      </w:pPr>
      <w:r>
        <w:t xml:space="preserve">1³＋2³＋3³＋4³＝(1＋2＋3＋4)²＝10²＝100。</w:t>
      </w:r>
    </w:p>
    <w:p>
      <w:pPr>
        <w:pStyle w:val="Heading1"/>
      </w:pPr>
      <w:r>
        <w:t xml:space="preserve">延伸觀察</w:t>
      </w:r>
    </w:p>
    <w:p>
      <w:pPr>
        <w:pStyle w:val="Note"/>
      </w:pPr>
      <w:r>
        <w:t xml:space="preserve">前 n 個立方數的和，等於前 n 個正整數和的平方；例如前 5 個立方和為 15²＝225。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JhengHei"/>
        <w:lang w:val="zh-TW"/>
      </w:rPr>
    </w:rPrDefault>
    <w:pPrDefault>
      <w:pPr>
        <w:spacing w:after="125" w:line="300" w:lineRule="auto"/>
      </w:pPr>
    </w:pPrDefault>
  </w:docDefaults>
  <w:style w:type="paragraph" w:styleId="Normal">
    <w:name w:val="Normal"/>
    <w:rPr>
      <w:sz w:val="22"/>
    </w:rPr>
  </w:style>
  <w:style w:type="paragraph" w:styleId="Title">
    <w:name w:val="Title"/>
    <w:pPr>
      <w:spacing w:after="130"/>
    </w:pPr>
    <w:rPr>
      <w:b/>
      <w:color w:val="17324D"/>
      <w:sz w:val="34"/>
    </w:rPr>
  </w:style>
  <w:style w:type="paragraph" w:styleId="Subtitle">
    <w:name w:val="Subtitle"/>
    <w:rPr>
      <w:color w:val="526B7B"/>
      <w:sz w:val="23"/>
    </w:rPr>
  </w:style>
  <w:style w:type="paragraph" w:styleId="Heading1">
    <w:name w:val="heading 1"/>
    <w:basedOn w:val="Normal"/>
    <w:pPr>
      <w:keepNext/>
      <w:spacing w:before="260" w:after="100"/>
    </w:pPr>
    <w:rPr>
      <w:b/>
      <w:color w:val="1E5A72"/>
      <w:sz w:val="28"/>
    </w:rPr>
  </w:style>
  <w:style w:type="paragraph" w:styleId="Heading2">
    <w:name w:val="heading 2"/>
    <w:basedOn w:val="Normal"/>
    <w:pPr>
      <w:keepNext/>
      <w:spacing w:before="170" w:after="60"/>
    </w:pPr>
    <w:rPr>
      <w:b/>
      <w:color w:val="315D7D"/>
      <w:sz w:val="24"/>
    </w:rPr>
  </w:style>
  <w:style w:type="paragraph" w:styleId="Equation">
    <w:name w:val="Equation"/>
    <w:pPr>
      <w:jc w:val="center"/>
      <w:spacing w:before="80" w:after="130"/>
    </w:pPr>
    <w:rPr>
      <w:b/>
      <w:color w:val="8A4B25"/>
      <w:sz w:val="23"/>
    </w:rPr>
  </w:style>
  <w:style w:type="paragraph" w:styleId="Note">
    <w:name w:val="Note"/>
    <w:pPr>
      <w:ind w:left="240"/>
      <w:spacing w:before="60" w:after="120"/>
    </w:pPr>
    <w:rPr>
      <w:color w:val="7B4C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