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算術幾何平均不等式的二元三元與 n 元證明</w:t>
      </w:r>
    </w:p>
    <w:p>
      <w:pPr>
        <w:pStyle w:val="Subtitle"/>
      </w:pPr>
      <w:r>
        <w:t xml:space="preserve">由平方差推廣到任意有限項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對非負實數 a₁、…、aₙ，算術平均不小於幾何平均：</w:t>
      </w:r>
    </w:p>
    <w:p>
      <w:pPr>
        <w:pStyle w:val="Equation"/>
      </w:pPr>
      <w:r>
        <w:t xml:space="preserve">(a₁＋…＋aₙ)／n ≥ (a₁a₂…aₙ)¹⁄ⁿ</w:t>
      </w:r>
    </w:p>
    <w:p>
      <w:pPr>
        <w:pStyle w:val="Normal"/>
      </w:pPr>
      <w:r>
        <w:t xml:space="preserve">若所有數都為正，等號成立恰好在 a₁＝…＝aₙ；若有零，乘積為零且不等式仍成立。下文先證二元與三元，再由歸納推廣到任意 n。</w:t>
      </w:r>
    </w:p>
    <w:p>
      <w:pPr>
        <w:pStyle w:val="Heading1"/>
      </w:pPr>
      <w:r>
        <w:t xml:space="preserve">二元證明</w:t>
      </w:r>
    </w:p>
    <w:p>
      <w:pPr>
        <w:pStyle w:val="Normal"/>
      </w:pPr>
      <w:r>
        <w:t xml:space="preserve">因為平方恆非負：</w:t>
      </w:r>
    </w:p>
    <w:p>
      <w:pPr>
        <w:pStyle w:val="Equation"/>
      </w:pPr>
      <w:r>
        <w:t xml:space="preserve">(√a−√b)² ≥ 0</w:t>
      </w:r>
    </w:p>
    <w:p>
      <w:pPr>
        <w:pStyle w:val="Normal"/>
      </w:pPr>
      <w:r>
        <w:t xml:space="preserve">展開並移項，得到 a＋b≥2√ab，也就是 (a＋b)／2≥√ab。等號條件是 a＝b。</w:t>
      </w:r>
    </w:p>
    <w:p>
      <w:pPr>
        <w:pStyle w:val="Heading1"/>
      </w:pPr>
      <w:r>
        <w:t xml:space="preserve">三元證明</w:t>
      </w:r>
    </w:p>
    <w:p>
      <w:pPr>
        <w:pStyle w:val="Normal"/>
      </w:pPr>
      <w:r>
        <w:t xml:space="preserve">若 a、b、c 有零，結論直接成立。否則令 g＝(abc)¹⁄³，並設 x＝a／g、y＝b／g、z＝c／g，則 xyz＝1。由二元不等式 x＋y≥2√xy＝2／√z。令 t＝√z＞0，便有：</w:t>
      </w:r>
    </w:p>
    <w:p>
      <w:pPr>
        <w:pStyle w:val="Equation"/>
      </w:pPr>
      <w:r>
        <w:t xml:space="preserve">x＋y＋z ≥ 2／t＋t² ≥ 3</w:t>
      </w:r>
    </w:p>
    <w:p>
      <w:pPr>
        <w:pStyle w:val="Normal"/>
      </w:pPr>
      <w:r>
        <w:t xml:space="preserve">最後一步等價於 t³−3t＋2≥0；分解為 (t−1)²(t＋2)≥0。故 x＋y＋z≥3。乘回 g 即得 (a＋b＋c)／3≥(abc)¹⁄³。等號在 x＝y＝z＝1，也就是 a＝b＝c。</w:t>
      </w:r>
    </w:p>
    <w:p>
      <w:pPr>
        <w:pStyle w:val="Heading1"/>
      </w:pPr>
      <w:r>
        <w:t xml:space="preserve">n 元證明</w:t>
      </w:r>
    </w:p>
    <w:p>
      <w:pPr>
        <w:pStyle w:val="Normal"/>
      </w:pPr>
      <w:r>
        <w:t xml:space="preserve">先證項數 N＝2ᵏ 的情形。對 N 作歸納：把數分成前後兩組，各含 N／2 項。令兩組的算術平均為 A、B，幾何平均為 G₁、G₂。歸納假設給出 A≥G₁、B≥G₂；二元不等式再給出：</w:t>
      </w:r>
    </w:p>
    <w:p>
      <w:pPr>
        <w:pStyle w:val="Equation"/>
      </w:pPr>
      <w:r>
        <w:t xml:space="preserve">(A＋B)／2 ≥ √(AB) ≥ √(G₁G₂)</w:t>
      </w:r>
    </w:p>
    <w:p>
      <w:pPr>
        <w:pStyle w:val="Normal"/>
      </w:pPr>
      <w:r>
        <w:t xml:space="preserve">右側正是全部 N 項的幾何平均，所以 2 的冪次情況成立。</w:t>
      </w:r>
    </w:p>
    <w:p>
      <w:pPr>
        <w:pStyle w:val="Normal"/>
      </w:pPr>
      <w:r>
        <w:t xml:space="preserve">現在處理任意 n。設 A＝(a₁＋…＋aₙ)／n。若 A＝0，所有 aᵢ 都為零，命題成立。若 A＞0，取不小於 n 的最小 2 的冪 N，並在原 n 項後補上 N−n 個 A。這 N 項的平均仍是 A。由 2 的冪次情況：</w:t>
      </w:r>
    </w:p>
    <w:p>
      <w:pPr>
        <w:pStyle w:val="Equation"/>
      </w:pPr>
      <w:r>
        <w:t xml:space="preserve">A ≥ (a₁…aₙ Aᴺ⁻ⁿ)¹⁄ᴺ</w:t>
      </w:r>
    </w:p>
    <w:p>
      <w:pPr>
        <w:pStyle w:val="Normal"/>
      </w:pPr>
      <w:r>
        <w:t xml:space="preserve">兩邊取 N 次方並除以 Aᴺ⁻ⁿ，得 Aⁿ≥a₁…aₙ。再取 n 次方根，就是所求不等式。</w:t>
      </w:r>
    </w:p>
    <w:p>
      <w:pPr>
        <w:pStyle w:val="Heading1"/>
      </w:pPr>
      <w:r>
        <w:t xml:space="preserve">例題</w:t>
      </w:r>
    </w:p>
    <w:p>
      <w:pPr>
        <w:pStyle w:val="Normal"/>
      </w:pPr>
      <w:r>
        <w:t xml:space="preserve">對 2、8、32，算術平均為 14，幾何平均為 (2·8·32)¹⁄³＝8，因此 14≥8。當三數都等於 8 時取等號。</w:t>
      </w:r>
    </w:p>
    <w:p>
      <w:pPr>
        <w:pStyle w:val="Heading1"/>
      </w:pPr>
      <w:r>
        <w:t xml:space="preserve">用途提示</w:t>
      </w:r>
    </w:p>
    <w:p>
      <w:pPr>
        <w:pStyle w:val="Note"/>
      </w:pPr>
      <w:r>
        <w:t xml:space="preserve">若已知和固定，這個不等式可限制乘積的最大值；若已知乘積固定，則可限制和的最小值。每次使用都要檢查各項非負，並留意等號需各項相等。</w:t>
      </w:r>
    </w:p>
    <w:p>
      <w:pPr>
        <w:jc w:val="center"/>
        <w:spacing w:before="100" w:after="170"/>
      </w:pPr>
      <w:r>
        <w:drawing>
          <ns1:inline distT="0" distB="0" distL="0" distR="0">
            <ns1:extent cx="5486400" cy="2212258"/>
            <ns1:docPr id="1" name="自製數學示意圖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2212258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JhengHei"/>
        <w:lang w:val="zh-TW"/>
      </w:rPr>
    </w:rPrDefault>
    <w:pPrDefault>
      <w:pPr>
        <w:spacing w:after="125" w:line="300" w:lineRule="auto"/>
      </w:pPr>
    </w:pPrDefault>
  </w:docDefaults>
  <w:style w:type="paragraph" w:styleId="Normal">
    <w:name w:val="Normal"/>
    <w:rPr>
      <w:sz w:val="22"/>
    </w:rPr>
  </w:style>
  <w:style w:type="paragraph" w:styleId="Title">
    <w:name w:val="Title"/>
    <w:pPr>
      <w:spacing w:after="130"/>
    </w:pPr>
    <w:rPr>
      <w:b/>
      <w:color w:val="17324D"/>
      <w:sz w:val="34"/>
    </w:rPr>
  </w:style>
  <w:style w:type="paragraph" w:styleId="Subtitle">
    <w:name w:val="Subtitle"/>
    <w:rPr>
      <w:color w:val="526B7B"/>
      <w:sz w:val="23"/>
    </w:rPr>
  </w:style>
  <w:style w:type="paragraph" w:styleId="Heading1">
    <w:name w:val="heading 1"/>
    <w:basedOn w:val="Normal"/>
    <w:pPr>
      <w:keepNext/>
      <w:spacing w:before="260" w:after="100"/>
    </w:pPr>
    <w:rPr>
      <w:b/>
      <w:color w:val="1E5A72"/>
      <w:sz w:val="28"/>
    </w:rPr>
  </w:style>
  <w:style w:type="paragraph" w:styleId="Heading2">
    <w:name w:val="heading 2"/>
    <w:basedOn w:val="Normal"/>
    <w:pPr>
      <w:keepNext/>
      <w:spacing w:before="170" w:after="60"/>
    </w:pPr>
    <w:rPr>
      <w:b/>
      <w:color w:val="315D7D"/>
      <w:sz w:val="24"/>
    </w:rPr>
  </w:style>
  <w:style w:type="paragraph" w:styleId="Equation">
    <w:name w:val="Equation"/>
    <w:pPr>
      <w:jc w:val="center"/>
      <w:spacing w:before="80" w:after="130"/>
    </w:pPr>
    <w:rPr>
      <w:b/>
      <w:color w:val="8A4B25"/>
      <w:sz w:val="23"/>
    </w:rPr>
  </w:style>
  <w:style w:type="paragraph" w:styleId="Note">
    <w:name w:val="Note"/>
    <w:pPr>
      <w:ind w:left="240"/>
      <w:spacing w:before="60" w:after="120"/>
    </w:pPr>
    <w:rPr>
      <w:color w:val="7B4C27"/>
    </w:rPr>
  </w:style>
  <w:style w:type="paragraph" w:styleId="Bullet">
    <w:name w:val="Bullet"/>
    <w:pPr>
      <w:ind w:left="360"/>
      <w:spacing w:after="70"/>
    </w:pPr>
  </w:style>
  <w:style w:type="paragraph" w:styleId="Source">
    <w:name w:val="Source"/>
    <w:rPr>
      <w:color w:val="4D647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