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阿基米德折弦定理證明</w:t>
      </w:r>
    </w:p>
    <w:p>
      <w:pPr>
        <w:pStyle w:val="Subtitle"/>
      </w:pPr>
      <w:r>
        <w:t xml:space="preserve">圓內折線的中點性質 兩種證明</w:t>
      </w:r>
    </w:p>
    <w:p>
      <w:pPr>
        <w:pStyle w:val="Heading1"/>
      </w:pPr>
      <w:r>
        <w:t xml:space="preserve">命題與設定</w:t>
      </w:r>
    </w:p>
    <w:p>
      <w:pPr>
        <w:pStyle w:val="Normal"/>
      </w:pPr>
      <w:r>
        <w:t xml:space="preserve">A、B、C 在同一圓上，按順序位於經過 B 的大弧 AC 上。假設弧 AB、弧 BC 都小於半圓，且弧 AB 較長，因此弦 AB＞弦 BC。令 D 為經過 B 的大弧 AC 中點，從 D 向弦 AB 作垂線 DE，垂足為 E。</w:t>
      </w:r>
    </w:p>
    <w:p>
      <w:pPr>
        <w:pStyle w:val="Equation"/>
      </w:pPr>
      <w:r>
        <w:t xml:space="preserve">則 AE＝EB＋BC。</w:t>
      </w:r>
    </w:p>
    <w:p>
      <w:pPr>
        <w:pStyle w:val="Normal"/>
      </w:pPr>
      <w:r>
        <w:t xml:space="preserve">因此 E 把折線 A→B→C 的總長 AB＋BC 平分：從 A 沿折線走到 E 的長度 AE，等於從 E 經 B 走到 C 的長度 EB＋BC。這就是阿基米德折弦定理。</w:t>
      </w:r>
    </w:p>
    <w:p>
      <w:pPr>
        <w:pStyle w:val="Heading1"/>
      </w:pPr>
      <w:r>
        <w:t xml:space="preserve">圖形</w:t>
      </w:r>
    </w:p>
    <w:p>
      <w:pPr>
        <w:pStyle w:val="Normal"/>
      </w:pPr>
      <w:r>
        <w:t xml:space="preserve">在弦 AB 上取 X，使 AX＝BC。等腰三角形 BDX 中，DE 是底邊 BX 的高，所以 E 是 BX 的中點。</w:t>
      </w:r>
    </w:p>
    <w:p>
      <w:pPr>
        <w:jc w:val="center"/>
        <w:spacing w:before="120" w:after="200"/>
      </w:pPr>
      <w:r>
        <w:drawing>
          <wp:inline distT="0" distB="0" distL="0" distR="0">
            <wp:extent cx="5486400" cy="2869809"/>
            <wp:docPr id="1" name="折弦定理示意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oken-chord.sv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9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證明一 全等三角形與等腰三角形</w:t>
      </w:r>
    </w:p>
    <w:p>
      <w:pPr>
        <w:pStyle w:val="Normal"/>
      </w:pPr>
      <w:r>
        <w:t xml:space="preserve">因為 D 是大弧 AC 的中點，兩弧 AD、DC 相等，所以對應弦 AD＝DC。</w:t>
      </w:r>
    </w:p>
    <w:p>
      <w:pPr>
        <w:pStyle w:val="Normal"/>
      </w:pPr>
      <w:r>
        <w:t xml:space="preserve">在弦 AB 上取 X，使 AX＝BC。由於 AB＞BC，點 X 位於 A、B 之間。考慮三角形 BCD 與 AXD：</w:t>
      </w:r>
    </w:p>
    <w:p>
      <w:pPr>
        <w:pStyle w:val="Equation"/>
      </w:pPr>
      <w:r>
        <w:t xml:space="preserve">BC＝AX（作圖）；　CD＝AD（等弦）。</w:t>
      </w:r>
    </w:p>
    <w:p>
      <w:pPr>
        <w:pStyle w:val="Normal"/>
      </w:pPr>
      <w:r>
        <w:t xml:space="preserve">又因 A、B、C、D 共圓，∠BCD 與 ∠BAD 截同一弦 BD，故兩角相等；而 AX 與 AB 共線，所以 ∠XAD＝∠BAD。</w:t>
      </w:r>
    </w:p>
    <w:p>
      <w:pPr>
        <w:pStyle w:val="Normal"/>
      </w:pPr>
      <w:r>
        <w:t xml:space="preserve">兩三角形由兩邊及其夾角分別相等，依 SAS 全等，因此 BD＝DX。三角形 BDX 是以 D 為頂角的等腰三角形。</w:t>
      </w:r>
    </w:p>
    <w:p>
      <w:pPr>
        <w:pStyle w:val="Normal"/>
      </w:pPr>
      <w:r>
        <w:t xml:space="preserve">旋轉觀點：SAS 全等也可看成以 D 為中心的旋轉。前面的圓周角追蹤給 ∠DCB=∠DAB，而 AX 沿 AB，故 ∠DAX=∠DAB。旋轉把射線 DC 轉到 DA，因 DC＝DA 而使 C 對應到 A；再由 BC＝AX 與這組夾角相等，SAS 確定 B 對應到 X。依題設弧序兩三角形同向，這個保向全等由旋轉實現，因此 DB＝DX。它是倍率為 1 的旋轉相似，可作為螺旋相似的入門例子。</w:t>
      </w:r>
    </w:p>
    <w:p>
      <w:pPr>
        <w:pStyle w:val="Normal"/>
      </w:pPr>
      <w:r>
        <w:t xml:space="preserve">DE⊥AB，而 B、X、E 都在直線 AB 上，所以 DE 是等腰三角形 BDX 對底邊 BX 的高。等腰三角形頂角的高也平分底邊，故 BE＝EX。</w:t>
      </w:r>
    </w:p>
    <w:p>
      <w:pPr>
        <w:pStyle w:val="Equation"/>
      </w:pPr>
      <w:r>
        <w:t xml:space="preserve">點的順序是 A、X、E、B。於是 AE＝AX＋XE＝BC＋EB，得到 AE＝EB＋BC。證畢。</w:t>
      </w:r>
    </w:p>
    <w:p>
      <w:pPr>
        <w:pStyle w:val="Heading1"/>
      </w:pPr>
      <w:r>
        <w:t xml:space="preserve">證明二 圓心座標與投影</w:t>
      </w:r>
    </w:p>
    <w:p>
      <w:pPr>
        <w:pStyle w:val="Normal"/>
      </w:pPr>
      <w:r>
        <w:t xml:space="preserve">設圓半徑為 r。令 α、β 分別為弧 AB、弧 BC 所對圓心角的一半。因兩弧都小於半圓且弧 AB 較長，0＜β＜α＜90°；經過 B 的弧 AC 是大弧，所以 α＋β＞90°。把 D 所在的半徑方向當作座標基準，可將 A、B、C 的圓心角分別寫成 −(α＋β)、α−β、α＋β。</w:t>
      </w:r>
    </w:p>
    <w:p>
      <w:pPr>
        <w:pStyle w:val="Normal"/>
      </w:pPr>
      <w:r>
        <w:t xml:space="preserve">以弦 AB 的中點半徑方向為第一座標軸，沿弦 AB 的方向為第二座標軸。A、B 的座標是 (r cosα, −r sinα)、(r cosα, r sinα)；D 的座標是 (r cosβ, r sinβ)。因此垂足 E 的座標是 (r cosα, r sinβ)。</w:t>
      </w:r>
    </w:p>
    <w:p>
      <w:pPr>
        <w:pStyle w:val="Equation"/>
      </w:pPr>
      <w:r>
        <w:t xml:space="preserve">AE＝r(sinα＋sinβ)，　EB＝r(sinα−sinβ)。</w:t>
      </w:r>
    </w:p>
    <w:p>
      <w:pPr>
        <w:pStyle w:val="Normal"/>
      </w:pPr>
      <w:r>
        <w:t xml:space="preserve">弦 BC 所對圓心角為 2β，所以 BC＝2r sinβ。代入可得：</w:t>
      </w:r>
    </w:p>
    <w:p>
      <w:pPr>
        <w:pStyle w:val="Equation"/>
      </w:pPr>
      <w:r>
        <w:t xml:space="preserve">EB＋BC＝r(sinα−sinβ)＋2r sinβ＝r(sinα＋sinβ)＝AE。</w:t>
      </w:r>
    </w:p>
    <w:p>
      <w:pPr>
        <w:pStyle w:val="Heading1"/>
      </w:pPr>
      <w:r>
        <w:t xml:space="preserve">線段長公式</w:t>
      </w:r>
    </w:p>
    <w:p>
      <w:pPr>
        <w:pStyle w:val="Normal"/>
      </w:pPr>
      <w:r>
        <w:t xml:space="preserve">因 E 在 AB 上，另有 AB＝AE＋EB。聯立 AE＝EB＋BC，可得：</w:t>
      </w:r>
    </w:p>
    <w:p>
      <w:pPr>
        <w:pStyle w:val="Equation"/>
      </w:pPr>
      <w:r>
        <w:t xml:space="preserve">AE＝(AB＋BC)／2，　EB＝(AB−BC)／2。</w:t>
      </w:r>
    </w:p>
    <w:p>
      <w:pPr>
        <w:pStyle w:val="Heading1"/>
      </w:pPr>
      <w:r>
        <w:t xml:space="preserve">歷史註記</w:t>
      </w:r>
    </w:p>
    <w:p>
      <w:pPr>
        <w:pStyle w:val="Normal"/>
      </w:pPr>
      <w:r>
        <w:t xml:space="preserve">此命題通常稱為阿基米德折弦定理。數學史著作記載，11 世紀的 al-Biruni 在《圓中弦的導出》把它歸於阿基米德；這是傳承中的歸屬，並不表示現存阿基米德著作中能找到這條命題。</w:t>
      </w:r>
    </w:p>
    <w:p>
      <w:pPr>
        <w:pStyle w:val="Source"/>
      </w:pPr>
      <w:r>
        <w:t xml:space="preserve">參考資料：Glen Van Brummelen, The Mathematics of the Heavens and the Earth: The Early History of Trigonometry, Princeton University Press, 2009, pp. 30–32. https://assets.press.princeton.edu/chapters/s8956.pdf</w:t>
      </w:r>
    </w:p>
    <w:p>
      <w:pPr>
        <w:pStyle w:val="Source"/>
      </w:pPr>
      <w:r>
        <w:t xml:space="preserve">幾何證明示例：Mark Cowart, “The Theorem of the Broken Chord,” University of Georgia. https://jwilson.coe.uga.edu/EMT668/EMT668.Folders.F97/Cowart/essay2/brokenchord.html</w:t>
      </w:r>
    </w:p>
    <w:sectPr>
      <w:pgSz w:w="12240" w:h="15840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 w:eastAsia="Microsoft JhengHei"/>
        <w:lang w:val="zh-TW"/>
      </w:rPr>
    </w:rPrDefault>
    <w:pPrDefault>
      <w:pPr>
        <w:spacing w:after="130" w:line="300" w:lineRule="auto"/>
      </w:pPr>
    </w:pPrDefault>
  </w:docDefaults>
  <w:style w:type="paragraph" w:styleId="Normal">
    <w:name w:val="Normal"/>
    <w:rPr>
      <w:sz w:val="22"/>
    </w:rPr>
  </w:style>
  <w:style w:type="paragraph" w:styleId="Title">
    <w:name w:val="Title"/>
    <w:pPr>
      <w:spacing w:after="130"/>
    </w:pPr>
    <w:rPr>
      <w:b/>
      <w:color w:val="17324D"/>
      <w:sz w:val="34"/>
    </w:rPr>
  </w:style>
  <w:style w:type="paragraph" w:styleId="Subtitle">
    <w:name w:val="Subtitle"/>
    <w:rPr>
      <w:color w:val="526B7B"/>
      <w:sz w:val="23"/>
    </w:rPr>
  </w:style>
  <w:style w:type="paragraph" w:styleId="Heading1">
    <w:name w:val="heading 1"/>
    <w:basedOn w:val="Normal"/>
    <w:pPr>
      <w:keepNext/>
      <w:spacing w:before="270" w:after="100"/>
    </w:pPr>
    <w:rPr>
      <w:b/>
      <w:color w:val="1E5A72"/>
      <w:sz w:val="28"/>
    </w:rPr>
  </w:style>
  <w:style w:type="paragraph" w:styleId="Heading2">
    <w:name w:val="heading 2"/>
    <w:basedOn w:val="Normal"/>
    <w:pPr>
      <w:keepNext/>
      <w:spacing w:before="170" w:after="60"/>
    </w:pPr>
    <w:rPr>
      <w:b/>
      <w:color w:val="315D7D"/>
      <w:sz w:val="24"/>
    </w:rPr>
  </w:style>
  <w:style w:type="paragraph" w:styleId="Equation">
    <w:name w:val="Equation"/>
    <w:pPr>
      <w:jc w:val="center"/>
      <w:spacing w:before="90" w:after="140"/>
    </w:pPr>
    <w:rPr>
      <w:b/>
      <w:color w:val="8A4B25"/>
      <w:sz w:val="23"/>
    </w:rPr>
  </w:style>
  <w:style w:type="paragraph" w:styleId="Note">
    <w:name w:val="Note"/>
    <w:pPr>
      <w:ind w:left="240"/>
      <w:spacing w:before="70" w:after="130"/>
    </w:pPr>
    <w:rPr>
      <w:color w:val="7B4C27"/>
    </w:rPr>
  </w:style>
  <w:style w:type="paragraph" w:styleId="Source">
    <w:name w:val="Source"/>
    <w:pPr>
      <w:spacing w:after="60"/>
    </w:pPr>
    <w:rPr>
      <w:color w:val="4D6473"/>
      <w:sz w:val="1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diagram.svg"/></Relationships>
</file>