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圓錐曲線焦點反射性質證明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三角幾何與解析幾何　｜　Reflective property of conics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橢圓：光線由焦點 F₁ 射向曲線，反射後實際通過 F₂。雙曲線：光線由 F₁ 射向曲線，反射後遠離 F₂，其反向延長線通過 F₂；若入射方向反過來、原本朝向 F₁，反射後則朝向 F₂。拋物線：沿軸向朝鏡面入射的平行光反射至焦點，逆向光路亦成立。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在曲線點 P 設 dⱼ=∣P−Fⱼ∣，uⱼ=</w:t>
      </w:r>
      <m:oMath>
        <m:f>
          <m:fPr>
            <m:type m:val="bar"/>
          </m:fPr>
          <m:num>
            <m:r>
              <m:rPr/>
              <w:rPr>
                <w:rFonts w:ascii="Cambria Math" w:hAnsi="Cambria Math"/>
              </w:rPr>
              <m:t>P</m:t>
            </m:r>
            <m:r>
              <m:rPr>
                <m:nor m:val="1"/>
              </m:rPr>
              <w:rPr>
                <w:rFonts w:ascii="Cambria Math" w:hAnsi="Cambria Math"/>
              </w:rPr>
              <m:t>−</m:t>
            </m:r>
            <m:sSub>
              <m:e>
                <m:r>
                  <m:rPr/>
                  <w:rPr>
                    <w:rFonts w:ascii="Cambria Math" w:hAnsi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sSub>
              <m:e>
                <m:r>
                  <m:rPr/>
                  <w:rPr>
                    <w:rFonts w:ascii="Cambria Math" w:hAnsi="Cambria Math"/>
                  </w:rPr>
                  <m:t>d</m:t>
                </m:r>
              </m:e>
              <m:sub>
                <m:r>
                  <m:rPr/>
                  <w:rPr>
                    <w:rFonts w:ascii="Cambria Math" w:hAnsi="Cambria Math"/>
                  </w:rPr>
                  <m:t>j</m:t>
                </m:r>
              </m:sub>
            </m:sSub>
          </m:den>
        </m:f>
      </m:oMath>
      <w:r>
        <w:rPr>
          <w:rFonts w:ascii="Microsoft JhengHei" w:hAnsi="Microsoft JhengHei" w:eastAsia="Microsoft JhengHei"/>
          <w:sz w:val="22"/>
        </w:rPr>
        <w:t>；uⱼ 由 Fⱼ 指向 P。入射、反射向量均按光的傳播方向定義。若 n 為非零法向量，反射使法向分量反號、切向分量不變，故 R(v)=v−</w:t>
      </w:r>
      <m:oMath>
        <m:f>
          <m:fPr>
            <m:type m:val="bar"/>
          </m:fPr>
          <m:num>
            <m:r>
              <m:rPr>
                <m:nor m:val="1"/>
              </m:rPr>
              <w:rPr>
                <w:rFonts w:ascii="Cambria Math" w:hAnsi="Cambria Math"/>
              </w:rPr>
              <m:t>2</m:t>
            </m:r>
            <m:d>
              <m:dPr>
                <m:begChr m:val="("/>
                <m:endChr m:val=")"/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r>
                  <m:rPr>
                    <m:nor m:val="1"/>
                  </m:rPr>
                  <w:rPr>
                    <w:rFonts w:ascii="Cambria Math" w:hAnsi="Cambria Math"/>
                  </w:rPr>
                  <m:t>·</m:t>
                </m:r>
                <m:r>
                  <m:rPr/>
                  <w:rPr>
                    <w:rFonts w:ascii="Cambria Math" w:hAnsi="Cambria Math"/>
                  </w:rPr>
                  <m:t>n</m:t>
                </m:r>
              </m:e>
            </m:d>
          </m:num>
          <m:den>
            <m:r>
              <m:rPr/>
              <w:rPr>
                <w:rFonts w:ascii="Cambria Math" w:hAnsi="Cambria Math"/>
              </w:rPr>
              <m:t>n</m:t>
            </m:r>
            <m:r>
              <m:rPr>
                <m:nor m:val="1"/>
              </m:rPr>
              <w:rPr>
                <w:rFonts w:ascii="Cambria Math" w:hAnsi="Cambria Math"/>
              </w:rPr>
              <m:t>·</m:t>
            </m:r>
            <m:r>
              <m:rPr/>
              <w:rPr>
                <w:rFonts w:ascii="Cambria Math" w:hAnsi="Cambria Math"/>
              </w:rPr>
              <m:t>n</m:t>
            </m:r>
          </m:den>
        </m:f>
      </m:oMath>
      <w:r>
        <w:rPr>
          <w:rFonts w:ascii="Microsoft JhengHei" w:hAnsi="Microsoft JhengHei" w:eastAsia="Microsoft JhengHei"/>
          <w:sz w:val="22"/>
        </w:rPr>
        <w:t>n。</w:t>
      </w:r>
    </w:p>
    <w:p>
      <w:r>
        <w:rPr>
          <w:rFonts w:ascii="Microsoft JhengHei" w:hAnsi="Microsoft JhengHei" w:eastAsia="Microsoft JhengHei"/>
          <w:sz w:val="22"/>
        </w:rPr>
        <w:t>橢圓的 d₁+d₂ 固定，沿切向微分得法向量 n=u₁+u₂。因 ∣u₁∣=∣u₂∣=1，代入反射式得 R(u₁)=−u₂，故反射光由 P 朝 F₂。雙曲線在固定分支上 d₁−d₂ 為常數，可取 n=u₁−u₂；同樣代入得 R(u₁)=u₂，光線從 P 遠離 F₂。線性性又給 R(−u₁)=−u₂，說明朝向 F₁ 的入射光會反射朝向 F₂。</w:t>
      </w:r>
    </w:p>
    <w:p>
      <w:r>
        <w:rPr>
          <w:rFonts w:ascii="Microsoft JhengHei" w:hAnsi="Microsoft JhengHei" w:eastAsia="Microsoft JhengHei"/>
          <w:sz w:val="22"/>
        </w:rPr>
        <w:t>拋物線令 e 為準線指向曲線所在半平面的單位法向量，u=</w:t>
      </w:r>
      <m:oMath>
        <m:f>
          <m:fPr>
            <m:type m:val="bar"/>
          </m:fPr>
          <m:num>
            <m:r>
              <m:rPr/>
              <w:rPr>
                <w:rFonts w:ascii="Cambria Math" w:hAnsi="Cambria Math"/>
              </w:rPr>
              <m:t>P</m:t>
            </m:r>
            <m:r>
              <m:rPr>
                <m:nor m:val="1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F</m:t>
            </m:r>
          </m:num>
          <m:den>
            <m:d>
              <m:dPr>
                <m:begChr m:val="|"/>
                <m:endChr m:val="|"/>
              </m:dPr>
              <m:e>
                <m:r>
                  <m:rPr/>
                  <w:rPr>
                    <w:rFonts w:ascii="Cambria Math" w:hAnsi="Cambria Math"/>
                  </w:rPr>
                  <m:t>P</m:t>
                </m:r>
                <m:r>
                  <m:rPr>
                    <m:nor m:val="1"/>
                  </m:rPr>
                  <w:rPr>
                    <w:rFonts w:ascii="Cambria Math" w:hAnsi="Cambria Math"/>
                  </w:rPr>
                  <m:t>−</m:t>
                </m:r>
                <m:r>
                  <m:rPr/>
                  <w:rPr>
                    <w:rFonts w:ascii="Cambria Math" w:hAnsi="Cambria Math"/>
                  </w:rPr>
                  <m:t>F</m:t>
                </m:r>
              </m:e>
            </m:d>
          </m:den>
        </m:f>
      </m:oMath>
      <w:r>
        <w:rPr>
          <w:rFonts w:ascii="Microsoft JhengHei" w:hAnsi="Microsoft JhengHei" w:eastAsia="Microsoft JhengHei"/>
          <w:sz w:val="22"/>
        </w:rPr>
        <w:t>。由 ∣P−F∣=dist(P,準線) 微分，法向量可取 n=u−e；反射式給 R(−e)=−u、R(u)=e，分別對應平行光聚焦與焦點光射成平行光。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橢圓：R(u₁)=−u₂；雙曲線：R(u₁)=u₂。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雙曲線反向光路：R(−u₁)=−u₂。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假設圓錐曲線非退化，反射律採幾何光學模型。雙曲線的距離差在同一分支取固定符號；法向量換號不影響 R。須區分「反射光線」與其「反向延長線」，並明示入射方向；單說反射直線含另一焦點不足以判定光的去向。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圓錐曲線焦點反射性質證明 證明</dc:title>
  <dc:subject>Reflective property of conics</dc:subject>
  <dc:creator>python-docx</dc:creator>
  <cp:keywords>高中, 科學班, 證明, 04 三角幾何與解析幾何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