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8195" cy="1032510"/>
            <wp:effectExtent l="0" t="0" r="0" b="0"/>
            <wp:docPr id="1" name="图片 1" descr="http://www.jlu.edu.cn/images/big/jd-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jlu.edu.cn/images/big/jd-x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287" cy="10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b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概率论与数理统计A</w:t>
      </w:r>
      <w:r>
        <w:rPr>
          <w:rFonts w:hint="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》实验报告</w:t>
      </w:r>
    </w:p>
    <w:p>
      <w:pPr>
        <w:jc w:val="center"/>
        <w:rPr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52"/>
          <w:szCs w:val="52"/>
          <w:u w:val="single"/>
          <w:lang w:val="en-US" w:eastAsia="zh-CN"/>
          <w14:textFill>
            <w14:solidFill>
              <w14:schemeClr w14:val="tx1"/>
            </w14:solidFill>
          </w14:textFill>
        </w:rPr>
        <w:t>2023</w:t>
      </w:r>
      <w:r>
        <w:rPr>
          <w:rFonts w:hint="eastAsia"/>
          <w:b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学年第</w:t>
      </w:r>
      <w:r>
        <w:rPr>
          <w:rFonts w:hint="eastAsia"/>
          <w:b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52"/>
          <w:szCs w:val="52"/>
          <w:u w:val="singl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 w:val="52"/>
          <w:szCs w:val="5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学期</w:t>
      </w:r>
    </w:p>
    <w:p>
      <w:pPr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姓  名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朱家顺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学  号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55210425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院  系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软件学院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专  业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软件工程 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日  期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2023年5月1日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800" w:lineRule="exact"/>
        <w:ind w:firstLine="2168" w:firstLineChars="600"/>
        <w:jc w:val="both"/>
        <w:rPr>
          <w:rFonts w:hint="default"/>
          <w:b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指导教师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徐向红     </w:t>
      </w:r>
    </w:p>
    <w:p>
      <w:pPr>
        <w:spacing w:line="800" w:lineRule="exact"/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课程名称</w:t>
      </w:r>
      <w:r>
        <w:rPr>
          <w:rFonts w:hint="eastAsia"/>
          <w:b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概</w:t>
      </w:r>
      <w:r>
        <w:rPr>
          <w:rFonts w:hint="eastAsia"/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率论与数理统计A</w:t>
      </w:r>
    </w:p>
    <w:p>
      <w:pPr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2168" w:firstLineChars="600"/>
        <w:rPr>
          <w:b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实验项目名称</w:t>
      </w:r>
    </w:p>
    <w:p>
      <w:pPr>
        <w:rPr>
          <w:rFonts w:hint="default" w:eastAsia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假设检验</w:t>
      </w: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实验目的和意义</w:t>
      </w:r>
    </w:p>
    <w:p>
      <w:r>
        <w:rPr>
          <w:rFonts w:hint="default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目的：</w:t>
      </w:r>
      <w:r>
        <w:rPr>
          <w:rFonts w:hint="eastAsia"/>
        </w:rPr>
        <w:t>有甲、乙两台机床加工相同的产品, 从这两台机床加工的产品中随机地抽取若干件, 测得产品直径(单位:mm)为</w:t>
      </w:r>
    </w:p>
    <w:p>
      <w:r>
        <w:rPr>
          <w:rFonts w:hint="eastAsia"/>
        </w:rPr>
        <w:t>机床甲: 20.5, 19.8, 19.7, 20.4, 20.1, 20.0, 19.0, 19.9</w:t>
      </w:r>
    </w:p>
    <w:p>
      <w:r>
        <w:rPr>
          <w:rFonts w:hint="eastAsia"/>
        </w:rPr>
        <w:t>机床乙: 19.7, 20.8, 20.5, 19.8, 19.4, 20.6, 19.2, </w:t>
      </w:r>
    </w:p>
    <w:p>
      <w:pPr>
        <w:rPr>
          <w:rFonts w:hint="eastAsia" w:ascii="Consolas" w:hAnsi="Consolas" w:cs="Consolas" w:eastAsia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试比较甲、乙两台机床加工的产品直径有无显著差异? 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意义：熟悉</w:t>
      </w:r>
      <w:r>
        <w:rPr>
          <w:rFonts w:hint="eastAsia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假设检验</w:t>
      </w:r>
      <w:r>
        <w:rPr>
          <w:rFonts w:hint="default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相关知识，能够利用</w:t>
      </w:r>
      <w:r>
        <w:rPr>
          <w:rFonts w:hint="eastAsia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正态参数的假设检验进行显著性差异判断</w:t>
      </w:r>
      <w:r>
        <w:rPr>
          <w:rFonts w:hint="default" w:ascii="Consolas" w:hAnsi="Consolas" w:cs="Consolas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的计算。</w:t>
      </w: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实验内容及原理</w:t>
      </w:r>
    </w:p>
    <w:p>
      <w:pPr>
        <w:rPr>
          <w:rFonts w:hint="default" w:eastAsia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利用SPSS常见进行数学统计计算。</w:t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数学软件</w:t>
      </w:r>
    </w:p>
    <w:p>
      <w:pPr>
        <w:pStyle w:val="5"/>
        <w:ind w:firstLine="643"/>
        <w:rPr>
          <w:rFonts w:hint="default" w:eastAsiaTheme="minor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SPSS</w:t>
      </w: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实验命令</w:t>
      </w:r>
    </w:p>
    <w:p>
      <w:pPr>
        <w:pStyle w:val="5"/>
        <w:ind w:firstLine="643"/>
        <w:rPr>
          <w:rFonts w:hint="eastAsia" w:eastAsiaTheme="minor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实验步骤及程序设计</w:t>
      </w:r>
    </w:p>
    <w:p>
      <w:pPr>
        <w:pStyle w:val="5"/>
        <w:numPr>
          <w:ilvl w:val="0"/>
          <w:numId w:val="2"/>
        </w:numPr>
        <w:ind w:firstLine="643"/>
        <w:rPr>
          <w:rFonts w:hint="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把样本数据写入统计表视图中。</w:t>
      </w:r>
    </w:p>
    <w:p>
      <w:pPr>
        <w:pStyle w:val="5"/>
        <w:numPr>
          <w:ilvl w:val="0"/>
          <w:numId w:val="2"/>
        </w:numPr>
        <w:ind w:firstLine="643"/>
        <w:rPr>
          <w:rFonts w:hint="default" w:eastAsiaTheme="minor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利用分析功能的描述统计类别方法，进行统计计算。</w:t>
      </w: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643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运行结果</w:t>
      </w:r>
    </w:p>
    <w:p>
      <w:r>
        <w:drawing>
          <wp:inline distT="0" distB="0" distL="0" distR="0">
            <wp:extent cx="5274310" cy="2833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140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0184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80025" cy="2986405"/>
            <wp:effectExtent l="0" t="0" r="158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150" cy="30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91485"/>
            <wp:effectExtent l="0" t="0" r="254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94025"/>
            <wp:effectExtent l="0" t="0" r="25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ind w:left="0" w:leftChars="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以95%的把握认为甲、乙两台机床加工的精度结果之间无差异。</w:t>
      </w:r>
    </w:p>
    <w:p>
      <w:pPr>
        <w:pStyle w:val="5"/>
        <w:ind w:left="0" w:leftChars="0" w:firstLine="0" w:firstLineChars="0"/>
        <w:rPr>
          <w:rFonts w:hint="default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:</m:t>
        </m:r>
        <m:sSup>
          <m:sSupP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"/>
            <w:sz w:val="24"/>
            <w:szCs w:val="24"/>
            <w:lang w:val="en-US" w:bidi="ar-SA"/>
            <w14:textFill>
              <w14:solidFill>
                <w14:schemeClr w14:val="tx1"/>
              </w14:solidFill>
            </w14:textFill>
          </w:rPr>
          <m:t>=</m:t>
        </m:r>
        <m:sSup>
          <m:sSupP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hint="eastAsia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:</m:t>
        </m:r>
        <m:sSup>
          <m:sSupP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"/>
            <w:sz w:val="24"/>
            <w:szCs w:val="24"/>
            <w:lang w:val="en-US" w:bidi="ar-SA"/>
            <w14:textFill>
              <w14:solidFill>
                <w14:schemeClr w14:val="tx1"/>
              </w14:solidFill>
            </w14:textFill>
          </w:rPr>
          <m:t>≠</m:t>
        </m:r>
        <m:sSup>
          <m:sSupP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,拒绝域为</w:t>
      </w:r>
      <m:oMath>
        <m:r>
          <m:rPr>
            <m:sty m:val="p"/>
          </m:rPr>
          <w:rPr>
            <w:rFonts w:hint="eastAsia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F</m:t>
        </m:r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≤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1−</m:t>
            </m:r>
            <m:f>
              <m:fP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(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−1,</m:t>
        </m:r>
        <m:sSub>
          <m:sSubP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b w:val="0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−1),</m:t>
        </m:r>
      </m:oMath>
    </w:p>
    <w:p>
      <w:pPr>
        <w:pStyle w:val="5"/>
        <w:ind w:left="0" w:leftChars="0" w:firstLine="0" w:firstLineChars="0"/>
        <w:rPr>
          <w:rFonts w:hint="eastAsia" w:hAnsi="Cambria Math" w:cs="Cambria Math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=8,</m:t>
        </m:r>
        <m:sSub>
          <m:sSubPr>
            <m:ctrlPr>
              <w:rPr>
                <w:rFonts w:hint="default"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=7</m:t>
        </m:r>
      </m:oMath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,取</w:t>
      </w:r>
      <m:oMath>
        <m:r>
          <m:rPr>
            <m:sty m:val="p"/>
          </m:rPr>
          <w:rPr>
            <w:rFonts w:ascii="Cambria Math" w:hAnsi="Cambria Math" w:cs="Cambria Math"/>
            <w:color w:val="000000" w:themeColor="text1"/>
            <w:kern w:val="2"/>
            <w:sz w:val="24"/>
            <w:szCs w:val="24"/>
            <w:lang w:val="en-US" w:bidi="ar-SA"/>
            <w14:textFill>
              <w14:solidFill>
                <w14:schemeClr w14:val="tx1"/>
              </w14:solidFill>
            </w14:textFill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=0.05</m:t>
        </m:r>
      </m:oMath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0.975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(8,7)=0.2041</m:t>
        </m:r>
      </m:oMath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m:oMath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0.025</m:t>
            </m:r>
            <m:ctrlPr>
              <w:rPr>
                <w:rFonts w:ascii="Cambria Math" w:hAnsi="Cambria Math" w:cs="Cambria Math"/>
                <w:bCs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(8,7)=4.53</m:t>
        </m:r>
      </m:oMath>
      <w:r>
        <w:rPr>
          <w:rFonts w:hint="eastAsia" w:hAnsi="Cambria Math" w:cs="Cambria Math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</w:p>
    <w:p>
      <w:pPr>
        <w:pStyle w:val="5"/>
        <w:ind w:left="0" w:leftChars="0" w:firstLine="0" w:firstLineChars="0"/>
        <w:rPr>
          <w:rFonts w:hint="default" w:hAnsi="Cambria Math" w:cs="Cambria Math" w:eastAsiaTheme="minorEastAsia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Cambria Math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经计算,</w:t>
      </w:r>
      <m:oMath>
        <m:sSubSup>
          <m:sSubSupPr>
            <m:ctrlPr>
              <w:rPr>
                <w:rFonts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=0.2164,</m:t>
        </m:r>
        <m:sSubSup>
          <m:sSubSupPr>
            <m:ctrlPr>
              <w:rPr>
                <w:rFonts w:hint="default"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/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/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=0.3967,</m:t>
        </m:r>
      </m:oMath>
    </w:p>
    <w:p>
      <w:pPr>
        <w:pStyle w:val="5"/>
        <w:ind w:left="0" w:leftChars="0" w:firstLine="0" w:firstLineChars="0"/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由检验统计量,</w:t>
      </w:r>
      <m:oMath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t=</m:t>
        </m:r>
        <m:f>
          <m:fPr>
            <m:ctrlPr>
              <w:rPr>
                <w:rFonts w:hint="default" w:ascii="Cambria Math" w:hAnsi="Cambria Math" w:cs="Cambria Math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int="default" w:ascii="Cambria Math" w:hAnsi="Cambria Math" w:cs="Cambria Math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19.9250−20.0000</m:t>
                </m:r>
                <m:ctrlPr>
                  <w:rPr>
                    <w:rFonts w:hint="default" w:ascii="Cambria Math" w:hAnsi="Cambria Math" w:cs="Cambria Math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hint="default" w:ascii="Cambria Math" w:hAnsi="Cambria Math" w:cs="Cambria Math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0.5474</m:t>
            </m:r>
            <m:rad>
              <m:radPr>
                <m:degHide m:val="1"/>
                <m:ctrlPr>
                  <w:rPr>
                    <w:rFonts w:hint="default" w:ascii="Cambria Math" w:hAnsi="Cambria Math" w:cs="Cambria Math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hint="default" w:ascii="Cambria Math" w:hAnsi="Cambria Math" w:cs="Cambria Math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f>
                  <m:fP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</m:t>
                    </m: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7</m:t>
                    </m:r>
                    <m:ctrlPr>
                      <w:rPr>
                        <w:rFonts w:hint="default" w:ascii="Cambria Math" w:hAnsi="Cambria Math" w:cs="Cambria Math"/>
                        <w:bCs/>
                        <w:i w:val="0"/>
                        <w:color w:val="000000" w:themeColor="text1"/>
                        <w:kern w:val="2"/>
                        <w:sz w:val="24"/>
                        <w:szCs w:val="24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bCs/>
                    <w:i w:val="0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hint="default" w:ascii="Cambria Math" w:hAnsi="Cambria Math" w:cs="Cambria Math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|"/>
            <m:endChr m:val="|"/>
            <m:ctrlPr>
              <w:rPr>
                <w:rFonts w:hint="default" w:ascii="Cambria Math" w:hAnsi="Cambria Math" w:cs="Cambria Math"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−0.2657</m:t>
            </m:r>
            <m:ctrlPr>
              <w:rPr>
                <w:rFonts w:hint="default" w:ascii="Cambria Math" w:hAnsi="Cambria Math" w:cs="Cambria Math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color w:val="000000" w:themeColor="text1"/>
            <w:kern w:val="2"/>
            <w:sz w:val="24"/>
            <w:szCs w:val="24"/>
            <w:lang w:val="en-US" w:bidi="ar-SA"/>
            <w14:textFill>
              <w14:solidFill>
                <w14:schemeClr w14:val="tx1"/>
              </w14:solidFill>
            </w14:textFill>
          </w:rPr>
          <m:t>&lt;</m:t>
        </m:r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2.1604</m:t>
        </m:r>
      </m:oMath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</w:p>
    <w:p>
      <w:pPr>
        <w:pStyle w:val="5"/>
        <w:ind w:left="0" w:leftChars="0" w:firstLine="0" w:firstLineChars="0"/>
        <w:rPr>
          <w:rFonts w:hint="eastAsia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Cambria Math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接受</w:t>
      </w:r>
      <m:oMath>
        <m:sSub>
          <m:sSubP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H</m:t>
            </m: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eastAsia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>:</m:t>
        </m:r>
        <m:sSup>
          <m:sSupP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"/>
            <w:sz w:val="24"/>
            <w:szCs w:val="24"/>
            <w:lang w:val="en-US" w:bidi="ar-SA"/>
            <w14:textFill>
              <w14:solidFill>
                <w14:schemeClr w14:val="tx1"/>
              </w14:solidFill>
            </w14:textFill>
          </w:rPr>
          <m:t>=</m:t>
        </m:r>
        <m:sSup>
          <m:sSupP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σ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Cambria Math"/>
                    <w:b w:val="0"/>
                    <w:bCs/>
                    <w:color w:val="000000" w:themeColor="text1"/>
                    <w:kern w:val="2"/>
                    <w:sz w:val="24"/>
                    <w:szCs w:val="24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hint="default" w:ascii="Cambria Math" w:hAnsi="Cambria Math" w:cs="Cambria Math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color w:val="000000" w:themeColor="text1"/>
            <w:kern w:val="2"/>
            <w:sz w:val="24"/>
            <w:szCs w:val="24"/>
            <w:lang w:val="en-US" w:eastAsia="zh-CN" w:bidi="ar-SA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hint="eastAsia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,即以95%的把握认为甲、乙两台机床加工的精度结果之间无显著差异。（书写流程）</w:t>
      </w:r>
    </w:p>
    <w:p>
      <w:pPr>
        <w:pStyle w:val="5"/>
        <w:ind w:left="0" w:leftChars="0" w:firstLine="0" w:firstLineChars="0"/>
        <w:rPr>
          <w:rFonts w:hint="eastAsia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ind w:left="0" w:leftChars="0" w:firstLine="0" w:firstLineChars="0"/>
        <w:rPr>
          <w:rFonts w:hint="default" w:hAnsi="Cambria Math" w:cs="Cambria Math"/>
          <w:b w:val="0"/>
          <w:bCs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ind w:left="0" w:leftChars="0" w:firstLine="0" w:firstLineChars="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结果讨论与分析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经过正态性检验，得：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Z_1=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0.569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，p_1=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0.903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&gt;0.05； Z_2=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0.535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 p_2=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0.937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&gt;0.05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接受原假设，认为两组数据符合正态分布。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经过方差齐性检验，得：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F=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2.333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 p=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0.151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&gt;0.05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接受原假设，认为方差齐性。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经过独立样本T检验，得：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t=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-0.265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 p=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0.795</w:t>
      </w:r>
      <w:bookmarkStart w:id="0" w:name="_GoBack"/>
      <w:bookmarkEnd w:id="0"/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0.05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接受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原假设，</w:t>
      </w:r>
      <w:r>
        <w:rPr>
          <w:rFonts w:hint="eastAsia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认为</w:t>
      </w:r>
      <w:r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甲、乙两台机床加工的产品直径无显著差异。</w:t>
      </w:r>
    </w:p>
    <w:p>
      <w:pPr>
        <w:pStyle w:val="5"/>
        <w:numPr>
          <w:ilvl w:val="0"/>
          <w:numId w:val="0"/>
        </w:numPr>
        <w:ind w:leftChars="0"/>
        <w:rPr>
          <w:rFonts w:hint="default" w:ascii="Times New Roman" w:eastAsia="宋体"/>
          <w:b w:val="0"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1ED0A"/>
    <w:multiLevelType w:val="singleLevel"/>
    <w:tmpl w:val="AFA1ED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BE5662"/>
    <w:multiLevelType w:val="multilevel"/>
    <w:tmpl w:val="54BE566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NDAzMzE5ODQ5YmY1M2Y1MDdjMDliODIyMWExNGMifQ=="/>
  </w:docVars>
  <w:rsids>
    <w:rsidRoot w:val="005C3669"/>
    <w:rsid w:val="00067D27"/>
    <w:rsid w:val="00083E9F"/>
    <w:rsid w:val="000B5C1D"/>
    <w:rsid w:val="001C5781"/>
    <w:rsid w:val="00342649"/>
    <w:rsid w:val="003A66F3"/>
    <w:rsid w:val="003C2852"/>
    <w:rsid w:val="004D54C7"/>
    <w:rsid w:val="005C3669"/>
    <w:rsid w:val="006A08D8"/>
    <w:rsid w:val="00780A0E"/>
    <w:rsid w:val="009E3EA5"/>
    <w:rsid w:val="009E56CD"/>
    <w:rsid w:val="00B47F06"/>
    <w:rsid w:val="00C84C56"/>
    <w:rsid w:val="00D30B22"/>
    <w:rsid w:val="00DD10D5"/>
    <w:rsid w:val="00E8129E"/>
    <w:rsid w:val="00F5796D"/>
    <w:rsid w:val="24AA41F4"/>
    <w:rsid w:val="24D5616E"/>
    <w:rsid w:val="292B4C2B"/>
    <w:rsid w:val="3C5E2297"/>
    <w:rsid w:val="405C59E1"/>
    <w:rsid w:val="491B25D6"/>
    <w:rsid w:val="4F8F7346"/>
    <w:rsid w:val="5A5D34AE"/>
    <w:rsid w:val="5C95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527</Words>
  <Characters>840</Characters>
  <Lines>1</Lines>
  <Paragraphs>1</Paragraphs>
  <TotalTime>11</TotalTime>
  <ScaleCrop>false</ScaleCrop>
  <LinksUpToDate>false</LinksUpToDate>
  <CharactersWithSpaces>956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2017-06-03T05:55:00Z</dcterms:created>
  <dc:creator>xxxh</dc:creator>
  <cp:lastModifiedBy>相汐</cp:lastModifiedBy>
  <dcterms:modified xsi:type="dcterms:W3CDTF">2023-06-09T01:50:14Z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1637BDA18AC1476B92136ACE83F8213E_12</vt:lpwstr>
  </property>
</Properties>
</file>