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ED3FC" w14:textId="3C3B46AE" w:rsidR="00A11A65" w:rsidRPr="001E3B10" w:rsidRDefault="0088229A" w:rsidP="000A4649">
      <w:pPr>
        <w:pStyle w:val="Title"/>
        <w:jc w:val="center"/>
        <w:rPr>
          <w:b/>
          <w:bCs/>
          <w:u w:val="single"/>
        </w:rPr>
      </w:pPr>
      <w:r>
        <w:rPr>
          <w:b/>
          <w:bCs/>
          <w:u w:val="single"/>
        </w:rPr>
        <w:t>Background For Data</w:t>
      </w:r>
    </w:p>
    <w:p w14:paraId="33603F3C" w14:textId="7E834DF6" w:rsidR="001E3B10" w:rsidRDefault="001E3B10" w:rsidP="000A4649">
      <w:pPr>
        <w:pStyle w:val="Heading1"/>
        <w:rPr>
          <w:b/>
          <w:bCs/>
          <w:color w:val="auto"/>
        </w:rPr>
      </w:pPr>
      <w:r w:rsidRPr="001E3B10">
        <w:rPr>
          <w:b/>
          <w:bCs/>
          <w:color w:val="auto"/>
        </w:rPr>
        <w:t>Data Explanation</w:t>
      </w:r>
    </w:p>
    <w:p w14:paraId="1BAAE907" w14:textId="30C960D4" w:rsidR="001E3B10" w:rsidRDefault="00CF190E" w:rsidP="000A4649">
      <w:pPr>
        <w:jc w:val="both"/>
      </w:pPr>
      <w:r>
        <w:t xml:space="preserve">My chosen data set explores two datasets that have been published by HESA (Higher Education Statistic Agency) which covers the academic years from 2014 through to 2024. These sets provide a clear view of the student engagement and the achievements of the students within the UK higher education institutions. Dataset number 1: Figure 1 – Higher education(HE) student entrant enrolments by level of study, shows the number of the newest students that have been enrolled </w:t>
      </w:r>
      <w:r w:rsidR="00C9290E">
        <w:t>in each of the years being split by their individual levels of study. Dataset number 2 named: HE qualifications obtained by level of qualification shows the number of qualifications that have been given out each year also being split into their study levels (Postgraduate Research, Postgraduate Taught, First Degree and Other Undergraduate).</w:t>
      </w:r>
    </w:p>
    <w:p w14:paraId="0F4FD6D6" w14:textId="2C53D21F" w:rsidR="00CF190E" w:rsidRDefault="00B03DB1" w:rsidP="000A4649">
      <w:pPr>
        <w:jc w:val="both"/>
      </w:pPr>
      <w:r>
        <w:t>Both datasets</w:t>
      </w:r>
      <w:r w:rsidR="00C9290E">
        <w:t xml:space="preserve"> have been saved in a CSV format and have been made open and accessible under the Creative Commons Attribution 4.0 International License which allows for an unrestricted use. The data is sourced directly from the institutional</w:t>
      </w:r>
      <w:r>
        <w:t xml:space="preserve"> reporting from HESA, which ensures the reliability and consistency across the years of study. These datasets have been designed to support a public understanding, policy development and institutional planning in the higher education sector.</w:t>
      </w:r>
    </w:p>
    <w:p w14:paraId="2F1EFF6B" w14:textId="4B23CA47" w:rsidR="00C9290E" w:rsidRDefault="00E653E4" w:rsidP="000A4649">
      <w:pPr>
        <w:jc w:val="both"/>
      </w:pPr>
      <w:r>
        <w:t>The data that is in the sets have been remotely accessed via the HESA website. It has not been encrypted and does not contain any potential for sensitive personal information resulting in no GDPR concerns that could arise form the statistics. The format is machine readable and is consistent through both sets of data with clearly defined columns for each of the academic years and the study levels of those students. There is no indication of and lossy compression or transmission degradation with the data appearing to be complete and accurate.</w:t>
      </w:r>
    </w:p>
    <w:p w14:paraId="0E663353" w14:textId="41B19D5E" w:rsidR="00E653E4" w:rsidRDefault="004B73F7" w:rsidP="000A4649">
      <w:pPr>
        <w:jc w:val="both"/>
      </w:pPr>
      <w:r>
        <w:t>The datasets represent the key information of the higher education institutions participation and outcomes. They can show a constructive and informative insight into the how many students are entering higher education and how many of those eventually become a graduate in their completed qualifications. This makes them ideal for visualisation aimed at educators and the public. The data can be used to identify trends and able to compare the growth across the study levels and evaluate the effectiveness of any new educational policies that may have been introduced across the years that the datasets encompass.</w:t>
      </w:r>
    </w:p>
    <w:p w14:paraId="46C242A1" w14:textId="77777777" w:rsidR="000A4649" w:rsidRDefault="000A4649" w:rsidP="000A4649">
      <w:pPr>
        <w:jc w:val="both"/>
      </w:pPr>
    </w:p>
    <w:p w14:paraId="4D067CBF" w14:textId="2F88AEE4" w:rsidR="004B73F7" w:rsidRDefault="004B73F7" w:rsidP="000A4649">
      <w:pPr>
        <w:jc w:val="both"/>
      </w:pPr>
      <w:r>
        <w:lastRenderedPageBreak/>
        <w:t xml:space="preserve">These datasets do span a full decade of student enrolment </w:t>
      </w:r>
      <w:r w:rsidR="00D82103">
        <w:t>2014-2024. This provides an insightful context for the longitudinal analysis and a trend identification of the data. The most recent data is from the 2023-24 academic year which makes the datasets current and relevant for any analysis that is needed to be made from making conclusions. Although this data is not live it still does reflect the finalised annual statistics which are suitable for any historical comparison and strategic planning for the future.</w:t>
      </w:r>
    </w:p>
    <w:p w14:paraId="714F7C37" w14:textId="629D488F" w:rsidR="00783008" w:rsidRDefault="00D82103" w:rsidP="000A4649">
      <w:pPr>
        <w:jc w:val="both"/>
      </w:pPr>
      <w:r>
        <w:t xml:space="preserve">Below is some of the </w:t>
      </w:r>
      <w:r w:rsidR="00783008">
        <w:t>entries from the Figure 1 dataset which shows the number of student entrants by their level of study for the first, middle and most recent years.</w:t>
      </w:r>
    </w:p>
    <w:tbl>
      <w:tblPr>
        <w:tblStyle w:val="TableGrid"/>
        <w:tblW w:w="9128" w:type="dxa"/>
        <w:jc w:val="center"/>
        <w:tblLook w:val="04A0" w:firstRow="1" w:lastRow="0" w:firstColumn="1" w:lastColumn="0" w:noHBand="0" w:noVBand="1"/>
      </w:tblPr>
      <w:tblGrid>
        <w:gridCol w:w="1883"/>
        <w:gridCol w:w="2046"/>
        <w:gridCol w:w="1809"/>
        <w:gridCol w:w="1580"/>
        <w:gridCol w:w="1810"/>
      </w:tblGrid>
      <w:tr w:rsidR="00783008" w14:paraId="35951109" w14:textId="77777777" w:rsidTr="00783008">
        <w:trPr>
          <w:jc w:val="center"/>
        </w:trPr>
        <w:tc>
          <w:tcPr>
            <w:tcW w:w="1883" w:type="dxa"/>
            <w:shd w:val="clear" w:color="auto" w:fill="595959" w:themeFill="text1" w:themeFillTint="A6"/>
          </w:tcPr>
          <w:p w14:paraId="7A39FE84" w14:textId="46D6BF57" w:rsidR="00783008" w:rsidRDefault="00783008" w:rsidP="000A4649">
            <w:pPr>
              <w:jc w:val="center"/>
            </w:pPr>
            <w:r>
              <w:t>Academic Year</w:t>
            </w:r>
          </w:p>
        </w:tc>
        <w:tc>
          <w:tcPr>
            <w:tcW w:w="2046" w:type="dxa"/>
            <w:shd w:val="clear" w:color="auto" w:fill="595959" w:themeFill="text1" w:themeFillTint="A6"/>
          </w:tcPr>
          <w:p w14:paraId="1DE61281" w14:textId="38861EF6" w:rsidR="00783008" w:rsidRDefault="00783008" w:rsidP="000A4649">
            <w:pPr>
              <w:jc w:val="center"/>
            </w:pPr>
            <w:r>
              <w:t>Postgraduate (Research)</w:t>
            </w:r>
          </w:p>
        </w:tc>
        <w:tc>
          <w:tcPr>
            <w:tcW w:w="1809" w:type="dxa"/>
            <w:shd w:val="clear" w:color="auto" w:fill="595959" w:themeFill="text1" w:themeFillTint="A6"/>
          </w:tcPr>
          <w:p w14:paraId="1E609EC8" w14:textId="76E488ED" w:rsidR="00783008" w:rsidRDefault="00783008" w:rsidP="000A4649">
            <w:pPr>
              <w:jc w:val="center"/>
            </w:pPr>
            <w:r>
              <w:t>Postgraduate (Taught)</w:t>
            </w:r>
          </w:p>
        </w:tc>
        <w:tc>
          <w:tcPr>
            <w:tcW w:w="1580" w:type="dxa"/>
            <w:shd w:val="clear" w:color="auto" w:fill="595959" w:themeFill="text1" w:themeFillTint="A6"/>
          </w:tcPr>
          <w:p w14:paraId="7BB80FCE" w14:textId="774022C6" w:rsidR="00783008" w:rsidRDefault="00783008" w:rsidP="000A4649">
            <w:pPr>
              <w:jc w:val="center"/>
            </w:pPr>
            <w:r>
              <w:t>First Degree</w:t>
            </w:r>
          </w:p>
        </w:tc>
        <w:tc>
          <w:tcPr>
            <w:tcW w:w="1810" w:type="dxa"/>
            <w:shd w:val="clear" w:color="auto" w:fill="595959" w:themeFill="text1" w:themeFillTint="A6"/>
          </w:tcPr>
          <w:p w14:paraId="5F435808" w14:textId="4A43265A" w:rsidR="00783008" w:rsidRDefault="00783008" w:rsidP="000A4649">
            <w:pPr>
              <w:jc w:val="center"/>
            </w:pPr>
            <w:r>
              <w:t>Other Undergraduate</w:t>
            </w:r>
          </w:p>
        </w:tc>
      </w:tr>
      <w:tr w:rsidR="00783008" w14:paraId="7FC1C860" w14:textId="77777777" w:rsidTr="00783008">
        <w:trPr>
          <w:jc w:val="center"/>
        </w:trPr>
        <w:tc>
          <w:tcPr>
            <w:tcW w:w="1883" w:type="dxa"/>
            <w:shd w:val="clear" w:color="auto" w:fill="808080" w:themeFill="background1" w:themeFillShade="80"/>
          </w:tcPr>
          <w:p w14:paraId="32BB4FDA" w14:textId="0F1E5ABD" w:rsidR="00783008" w:rsidRDefault="00783008" w:rsidP="000A4649">
            <w:pPr>
              <w:jc w:val="center"/>
            </w:pPr>
            <w:r>
              <w:t>2014/15</w:t>
            </w:r>
          </w:p>
        </w:tc>
        <w:tc>
          <w:tcPr>
            <w:tcW w:w="2046" w:type="dxa"/>
            <w:shd w:val="clear" w:color="auto" w:fill="808080" w:themeFill="background1" w:themeFillShade="80"/>
          </w:tcPr>
          <w:p w14:paraId="56F31FE8" w14:textId="49B62C96" w:rsidR="00783008" w:rsidRDefault="00783008" w:rsidP="000A4649">
            <w:pPr>
              <w:jc w:val="center"/>
            </w:pPr>
            <w:r>
              <w:t>36,320</w:t>
            </w:r>
          </w:p>
        </w:tc>
        <w:tc>
          <w:tcPr>
            <w:tcW w:w="1809" w:type="dxa"/>
            <w:shd w:val="clear" w:color="auto" w:fill="808080" w:themeFill="background1" w:themeFillShade="80"/>
          </w:tcPr>
          <w:p w14:paraId="481BEC96" w14:textId="131DE213" w:rsidR="00783008" w:rsidRDefault="00783008" w:rsidP="000A4649">
            <w:pPr>
              <w:jc w:val="center"/>
            </w:pPr>
            <w:r>
              <w:t>281,450</w:t>
            </w:r>
          </w:p>
        </w:tc>
        <w:tc>
          <w:tcPr>
            <w:tcW w:w="1580" w:type="dxa"/>
            <w:shd w:val="clear" w:color="auto" w:fill="808080" w:themeFill="background1" w:themeFillShade="80"/>
          </w:tcPr>
          <w:p w14:paraId="72500025" w14:textId="15FE8544" w:rsidR="00783008" w:rsidRDefault="00783008" w:rsidP="000A4649">
            <w:pPr>
              <w:jc w:val="center"/>
            </w:pPr>
            <w:r>
              <w:t>536,925</w:t>
            </w:r>
          </w:p>
        </w:tc>
        <w:tc>
          <w:tcPr>
            <w:tcW w:w="1810" w:type="dxa"/>
            <w:shd w:val="clear" w:color="auto" w:fill="808080" w:themeFill="background1" w:themeFillShade="80"/>
          </w:tcPr>
          <w:p w14:paraId="02227A7D" w14:textId="29F8506B" w:rsidR="00783008" w:rsidRDefault="00783008" w:rsidP="000A4649">
            <w:pPr>
              <w:jc w:val="center"/>
            </w:pPr>
            <w:r>
              <w:t>155,740</w:t>
            </w:r>
          </w:p>
        </w:tc>
      </w:tr>
      <w:tr w:rsidR="00783008" w14:paraId="3A047BA9" w14:textId="77777777" w:rsidTr="00783008">
        <w:trPr>
          <w:jc w:val="center"/>
        </w:trPr>
        <w:tc>
          <w:tcPr>
            <w:tcW w:w="1883" w:type="dxa"/>
            <w:shd w:val="clear" w:color="auto" w:fill="808080" w:themeFill="background1" w:themeFillShade="80"/>
          </w:tcPr>
          <w:p w14:paraId="48310935" w14:textId="6023F25B" w:rsidR="00783008" w:rsidRDefault="00783008" w:rsidP="000A4649">
            <w:pPr>
              <w:jc w:val="center"/>
            </w:pPr>
            <w:r>
              <w:t>2018/19</w:t>
            </w:r>
          </w:p>
        </w:tc>
        <w:tc>
          <w:tcPr>
            <w:tcW w:w="2046" w:type="dxa"/>
            <w:shd w:val="clear" w:color="auto" w:fill="808080" w:themeFill="background1" w:themeFillShade="80"/>
          </w:tcPr>
          <w:p w14:paraId="1C3B0A40" w14:textId="6DEB607E" w:rsidR="00783008" w:rsidRDefault="00783008" w:rsidP="000A4649">
            <w:pPr>
              <w:jc w:val="center"/>
            </w:pPr>
            <w:r>
              <w:t>36,080</w:t>
            </w:r>
          </w:p>
        </w:tc>
        <w:tc>
          <w:tcPr>
            <w:tcW w:w="1809" w:type="dxa"/>
            <w:shd w:val="clear" w:color="auto" w:fill="808080" w:themeFill="background1" w:themeFillShade="80"/>
          </w:tcPr>
          <w:p w14:paraId="2005047B" w14:textId="5D723BAC" w:rsidR="00783008" w:rsidRDefault="00783008" w:rsidP="000A4649">
            <w:pPr>
              <w:jc w:val="center"/>
            </w:pPr>
            <w:r>
              <w:t>332,495</w:t>
            </w:r>
          </w:p>
        </w:tc>
        <w:tc>
          <w:tcPr>
            <w:tcW w:w="1580" w:type="dxa"/>
            <w:shd w:val="clear" w:color="auto" w:fill="808080" w:themeFill="background1" w:themeFillShade="80"/>
          </w:tcPr>
          <w:p w14:paraId="7B89A43E" w14:textId="6E8674CF" w:rsidR="00783008" w:rsidRDefault="00783008" w:rsidP="000A4649">
            <w:pPr>
              <w:jc w:val="center"/>
            </w:pPr>
            <w:r>
              <w:t>571,510</w:t>
            </w:r>
          </w:p>
        </w:tc>
        <w:tc>
          <w:tcPr>
            <w:tcW w:w="1810" w:type="dxa"/>
            <w:shd w:val="clear" w:color="auto" w:fill="808080" w:themeFill="background1" w:themeFillShade="80"/>
          </w:tcPr>
          <w:p w14:paraId="6A6EDC40" w14:textId="43C3AB0E" w:rsidR="00783008" w:rsidRDefault="00783008" w:rsidP="000A4649">
            <w:pPr>
              <w:jc w:val="center"/>
            </w:pPr>
            <w:r>
              <w:t>124,145</w:t>
            </w:r>
          </w:p>
        </w:tc>
      </w:tr>
      <w:tr w:rsidR="00783008" w14:paraId="3BEAEE62" w14:textId="77777777" w:rsidTr="00783008">
        <w:trPr>
          <w:jc w:val="center"/>
        </w:trPr>
        <w:tc>
          <w:tcPr>
            <w:tcW w:w="1883" w:type="dxa"/>
            <w:shd w:val="clear" w:color="auto" w:fill="808080" w:themeFill="background1" w:themeFillShade="80"/>
          </w:tcPr>
          <w:p w14:paraId="5908D843" w14:textId="4E59B86C" w:rsidR="00783008" w:rsidRDefault="00783008" w:rsidP="000A4649">
            <w:pPr>
              <w:jc w:val="center"/>
            </w:pPr>
            <w:r>
              <w:t>2023/24</w:t>
            </w:r>
          </w:p>
        </w:tc>
        <w:tc>
          <w:tcPr>
            <w:tcW w:w="2046" w:type="dxa"/>
            <w:shd w:val="clear" w:color="auto" w:fill="808080" w:themeFill="background1" w:themeFillShade="80"/>
          </w:tcPr>
          <w:p w14:paraId="435D6253" w14:textId="24E3B1F7" w:rsidR="00783008" w:rsidRDefault="00783008" w:rsidP="000A4649">
            <w:pPr>
              <w:jc w:val="center"/>
            </w:pPr>
            <w:r>
              <w:t>33,905</w:t>
            </w:r>
          </w:p>
        </w:tc>
        <w:tc>
          <w:tcPr>
            <w:tcW w:w="1809" w:type="dxa"/>
            <w:shd w:val="clear" w:color="auto" w:fill="808080" w:themeFill="background1" w:themeFillShade="80"/>
          </w:tcPr>
          <w:p w14:paraId="7091D7C7" w14:textId="0326F16E" w:rsidR="00783008" w:rsidRDefault="00783008" w:rsidP="000A4649">
            <w:pPr>
              <w:jc w:val="center"/>
            </w:pPr>
            <w:r>
              <w:t>514,315</w:t>
            </w:r>
          </w:p>
        </w:tc>
        <w:tc>
          <w:tcPr>
            <w:tcW w:w="1580" w:type="dxa"/>
            <w:shd w:val="clear" w:color="auto" w:fill="808080" w:themeFill="background1" w:themeFillShade="80"/>
          </w:tcPr>
          <w:p w14:paraId="260FCE07" w14:textId="2E152CCE" w:rsidR="00783008" w:rsidRDefault="00783008" w:rsidP="000A4649">
            <w:pPr>
              <w:jc w:val="center"/>
            </w:pPr>
            <w:r>
              <w:t>654,585</w:t>
            </w:r>
          </w:p>
        </w:tc>
        <w:tc>
          <w:tcPr>
            <w:tcW w:w="1810" w:type="dxa"/>
            <w:shd w:val="clear" w:color="auto" w:fill="808080" w:themeFill="background1" w:themeFillShade="80"/>
          </w:tcPr>
          <w:p w14:paraId="475FA933" w14:textId="012A141B" w:rsidR="00783008" w:rsidRDefault="00783008" w:rsidP="000A4649">
            <w:pPr>
              <w:jc w:val="center"/>
            </w:pPr>
            <w:r>
              <w:t>115,880</w:t>
            </w:r>
          </w:p>
        </w:tc>
      </w:tr>
    </w:tbl>
    <w:p w14:paraId="424D0652" w14:textId="77777777" w:rsidR="00783008" w:rsidRDefault="00783008" w:rsidP="000A4649">
      <w:pPr>
        <w:jc w:val="both"/>
      </w:pPr>
    </w:p>
    <w:p w14:paraId="62123650" w14:textId="628C485D" w:rsidR="00B03DB1" w:rsidRDefault="00783008" w:rsidP="000A4649">
      <w:pPr>
        <w:jc w:val="both"/>
      </w:pPr>
      <w:r>
        <w:t xml:space="preserve">This </w:t>
      </w:r>
      <w:r w:rsidR="006B74E3">
        <w:t>snippet from Figure 1 shows the structure of the content of the data. Each row represents an academic year, and each column shows the number of entrants by level of study. A similar structure is used in the qualification’s dataset, allowing for the direct comparison between enrolment and the achievement trends.  In summary these datasets are well-suited for visualisation and analysis. They are clearly structured and are openly accessible with providing a meaningful insight into the state of the UK’s higher education system over the past decade.</w:t>
      </w:r>
    </w:p>
    <w:p w14:paraId="06EAF46A" w14:textId="045C3DEF" w:rsidR="0007011E" w:rsidRDefault="001E3B10" w:rsidP="000A4649">
      <w:pPr>
        <w:pStyle w:val="Heading1"/>
        <w:jc w:val="both"/>
        <w:rPr>
          <w:b/>
          <w:bCs/>
          <w:color w:val="auto"/>
        </w:rPr>
      </w:pPr>
      <w:r w:rsidRPr="001E3B10">
        <w:rPr>
          <w:b/>
          <w:bCs/>
          <w:color w:val="auto"/>
        </w:rPr>
        <w:t>Data Composition</w:t>
      </w:r>
    </w:p>
    <w:p w14:paraId="6409DBAD" w14:textId="77777777" w:rsidR="00AC3C2A" w:rsidRDefault="0091579B" w:rsidP="000A4649">
      <w:pPr>
        <w:jc w:val="both"/>
      </w:pPr>
      <w:r>
        <w:t xml:space="preserve">This section details the analysis of how the structure and quality of the datasets are utilised in the overall report. The HE student entrants sorted </w:t>
      </w:r>
      <w:r w:rsidR="00D41077">
        <w:t xml:space="preserve">by level of study and the qualifications obtained through levels of qualification covers academic years from </w:t>
      </w:r>
      <w:r w:rsidR="00B21917">
        <w:t>2014/15 through to 2023/24</w:t>
      </w:r>
      <w:r w:rsidR="00C12DC2">
        <w:t xml:space="preserve"> keeping this data current.</w:t>
      </w:r>
      <w:r w:rsidR="006D1234">
        <w:t xml:space="preserve"> </w:t>
      </w:r>
      <w:r w:rsidR="00125286">
        <w:t>Both datasets</w:t>
      </w:r>
      <w:r w:rsidR="00A35413">
        <w:t xml:space="preserve"> are stored in a CSV format and have been structured with rows that represent the academic years of the students and columns that represent the qualification levels</w:t>
      </w:r>
      <w:r w:rsidR="00291D8B">
        <w:t>. With the header rows going as followed, Postgraduate (research), Postgraduate (taught)</w:t>
      </w:r>
      <w:r w:rsidR="00125286">
        <w:t>, First degree and other undergraduate.</w:t>
      </w:r>
      <w:r w:rsidR="00004C34">
        <w:t xml:space="preserve"> Each cell contains the number of </w:t>
      </w:r>
      <w:r w:rsidR="00CC02F9">
        <w:t xml:space="preserve"> </w:t>
      </w:r>
      <w:r w:rsidR="00004C34">
        <w:t xml:space="preserve">students that have either been enrolled in Higher </w:t>
      </w:r>
      <w:r w:rsidR="00E63901">
        <w:t>Education</w:t>
      </w:r>
      <w:r w:rsidR="00004C34">
        <w:t xml:space="preserve"> as the case for figure 1 or have been awarded qualifications </w:t>
      </w:r>
      <w:r w:rsidR="000E00D8">
        <w:t xml:space="preserve">in figure 2 </w:t>
      </w:r>
      <w:r w:rsidR="00E63901">
        <w:t>for each of the category for the given years in the rows.</w:t>
      </w:r>
      <w:r w:rsidR="00252D1D">
        <w:t xml:space="preserve"> </w:t>
      </w:r>
      <w:r w:rsidR="0053141E">
        <w:t>All values in the datasheets are quantitative and have been stored as strings that are represented as integers</w:t>
      </w:r>
      <w:r w:rsidR="00210A2B">
        <w:t xml:space="preserve">. These represent counts of the </w:t>
      </w:r>
      <w:r w:rsidR="00441532">
        <w:t>students,</w:t>
      </w:r>
      <w:r w:rsidR="00210A2B">
        <w:t xml:space="preserve"> and they are discrete variables. The column </w:t>
      </w:r>
      <w:r w:rsidR="00441532">
        <w:t xml:space="preserve">of academic year is a categorical ordinal variable </w:t>
      </w:r>
      <w:r w:rsidR="00964ACD">
        <w:t>which represent a time sequence.</w:t>
      </w:r>
      <w:r w:rsidR="00AC3C2A">
        <w:t xml:space="preserve"> </w:t>
      </w:r>
      <w:r w:rsidR="00F05EE9">
        <w:t xml:space="preserve">The variables are consistent across the </w:t>
      </w:r>
      <w:r w:rsidR="00AC3C2A">
        <w:t>datasets,</w:t>
      </w:r>
      <w:r w:rsidR="00F05EE9">
        <w:t xml:space="preserve"> and this allows them for any direct comparison. </w:t>
      </w:r>
    </w:p>
    <w:p w14:paraId="31DCF815" w14:textId="386A60A1" w:rsidR="00F05EE9" w:rsidRDefault="00F05EE9" w:rsidP="000A4649">
      <w:pPr>
        <w:jc w:val="both"/>
      </w:pPr>
      <w:r>
        <w:lastRenderedPageBreak/>
        <w:t>There are no Boolean or floats</w:t>
      </w:r>
      <w:r w:rsidR="00716CC5">
        <w:t xml:space="preserve"> the data is clearly formatted with no mixed types </w:t>
      </w:r>
      <w:r w:rsidR="00AC3C2A">
        <w:t>or inconsistent entries.</w:t>
      </w:r>
    </w:p>
    <w:p w14:paraId="34195B5E" w14:textId="2139F4C6" w:rsidR="006C2491" w:rsidRPr="000E2E25" w:rsidRDefault="006C2491" w:rsidP="000A4649">
      <w:pPr>
        <w:jc w:val="both"/>
        <w:rPr>
          <w:b/>
          <w:bCs/>
        </w:rPr>
      </w:pPr>
      <w:r w:rsidRPr="000E2E25">
        <w:rPr>
          <w:b/>
          <w:bCs/>
        </w:rPr>
        <w:t>Variable Summary Table</w:t>
      </w:r>
    </w:p>
    <w:tbl>
      <w:tblPr>
        <w:tblStyle w:val="TableGrid"/>
        <w:tblW w:w="8927" w:type="dxa"/>
        <w:jc w:val="center"/>
        <w:tblLook w:val="04A0" w:firstRow="1" w:lastRow="0" w:firstColumn="1" w:lastColumn="0" w:noHBand="0" w:noVBand="1"/>
      </w:tblPr>
      <w:tblGrid>
        <w:gridCol w:w="2038"/>
        <w:gridCol w:w="1617"/>
        <w:gridCol w:w="1278"/>
        <w:gridCol w:w="1866"/>
        <w:gridCol w:w="2128"/>
      </w:tblGrid>
      <w:tr w:rsidR="009D5BFD" w14:paraId="4AE87956" w14:textId="77777777" w:rsidTr="00381564">
        <w:trPr>
          <w:jc w:val="center"/>
        </w:trPr>
        <w:tc>
          <w:tcPr>
            <w:tcW w:w="2038" w:type="dxa"/>
            <w:shd w:val="clear" w:color="auto" w:fill="595959" w:themeFill="text1" w:themeFillTint="A6"/>
          </w:tcPr>
          <w:p w14:paraId="4365D3AA" w14:textId="414F4561" w:rsidR="009D5BFD" w:rsidRDefault="009D5BFD" w:rsidP="000A4649">
            <w:pPr>
              <w:jc w:val="center"/>
            </w:pPr>
            <w:r>
              <w:t>Variable Name</w:t>
            </w:r>
          </w:p>
        </w:tc>
        <w:tc>
          <w:tcPr>
            <w:tcW w:w="1617" w:type="dxa"/>
            <w:shd w:val="clear" w:color="auto" w:fill="595959" w:themeFill="text1" w:themeFillTint="A6"/>
          </w:tcPr>
          <w:p w14:paraId="34760756" w14:textId="69E86B58" w:rsidR="009D5BFD" w:rsidRDefault="009D5BFD" w:rsidP="000A4649">
            <w:pPr>
              <w:jc w:val="center"/>
            </w:pPr>
            <w:r>
              <w:t>Type</w:t>
            </w:r>
          </w:p>
        </w:tc>
        <w:tc>
          <w:tcPr>
            <w:tcW w:w="1278" w:type="dxa"/>
            <w:shd w:val="clear" w:color="auto" w:fill="595959" w:themeFill="text1" w:themeFillTint="A6"/>
          </w:tcPr>
          <w:p w14:paraId="2F043B45" w14:textId="282B7C7B" w:rsidR="009D5BFD" w:rsidRDefault="009D5BFD" w:rsidP="000A4649">
            <w:pPr>
              <w:jc w:val="center"/>
            </w:pPr>
            <w:r>
              <w:t>Category</w:t>
            </w:r>
          </w:p>
        </w:tc>
        <w:tc>
          <w:tcPr>
            <w:tcW w:w="1866" w:type="dxa"/>
            <w:shd w:val="clear" w:color="auto" w:fill="595959" w:themeFill="text1" w:themeFillTint="A6"/>
          </w:tcPr>
          <w:p w14:paraId="5062956A" w14:textId="1C26A986" w:rsidR="009D5BFD" w:rsidRDefault="009D5BFD" w:rsidP="000A4649">
            <w:pPr>
              <w:jc w:val="center"/>
            </w:pPr>
            <w:r>
              <w:t>Example Value</w:t>
            </w:r>
          </w:p>
        </w:tc>
        <w:tc>
          <w:tcPr>
            <w:tcW w:w="2128" w:type="dxa"/>
            <w:shd w:val="clear" w:color="auto" w:fill="595959" w:themeFill="text1" w:themeFillTint="A6"/>
          </w:tcPr>
          <w:p w14:paraId="710AEB0E" w14:textId="39CAF89D" w:rsidR="009D5BFD" w:rsidRDefault="009D5BFD" w:rsidP="000A4649">
            <w:pPr>
              <w:jc w:val="center"/>
            </w:pPr>
            <w:r>
              <w:t>Range (Approx)</w:t>
            </w:r>
          </w:p>
        </w:tc>
      </w:tr>
      <w:tr w:rsidR="009D5BFD" w14:paraId="5A6593B6" w14:textId="77777777" w:rsidTr="00381564">
        <w:trPr>
          <w:jc w:val="center"/>
        </w:trPr>
        <w:tc>
          <w:tcPr>
            <w:tcW w:w="2038" w:type="dxa"/>
            <w:shd w:val="clear" w:color="auto" w:fill="808080" w:themeFill="background1" w:themeFillShade="80"/>
          </w:tcPr>
          <w:p w14:paraId="5383BED1" w14:textId="4EEDFD3C" w:rsidR="009D5BFD" w:rsidRDefault="009D5BFD" w:rsidP="000A4649">
            <w:pPr>
              <w:jc w:val="center"/>
            </w:pPr>
            <w:r>
              <w:t>Academic Year</w:t>
            </w:r>
          </w:p>
        </w:tc>
        <w:tc>
          <w:tcPr>
            <w:tcW w:w="1617" w:type="dxa"/>
            <w:shd w:val="clear" w:color="auto" w:fill="808080" w:themeFill="background1" w:themeFillShade="80"/>
          </w:tcPr>
          <w:p w14:paraId="003C4B52" w14:textId="020EF002" w:rsidR="009D5BFD" w:rsidRDefault="009D5BFD" w:rsidP="000A4649">
            <w:pPr>
              <w:jc w:val="center"/>
            </w:pPr>
            <w:r>
              <w:t>Categorical</w:t>
            </w:r>
          </w:p>
        </w:tc>
        <w:tc>
          <w:tcPr>
            <w:tcW w:w="1278" w:type="dxa"/>
            <w:shd w:val="clear" w:color="auto" w:fill="808080" w:themeFill="background1" w:themeFillShade="80"/>
          </w:tcPr>
          <w:p w14:paraId="242231C7" w14:textId="74D35D1B" w:rsidR="009D5BFD" w:rsidRDefault="00B22B15" w:rsidP="000A4649">
            <w:pPr>
              <w:jc w:val="center"/>
            </w:pPr>
            <w:r>
              <w:t>Ordinal</w:t>
            </w:r>
          </w:p>
        </w:tc>
        <w:tc>
          <w:tcPr>
            <w:tcW w:w="1866" w:type="dxa"/>
            <w:shd w:val="clear" w:color="auto" w:fill="808080" w:themeFill="background1" w:themeFillShade="80"/>
          </w:tcPr>
          <w:p w14:paraId="4EDC607B" w14:textId="53354C2B" w:rsidR="009D5BFD" w:rsidRDefault="00B22B15" w:rsidP="000A4649">
            <w:pPr>
              <w:jc w:val="center"/>
            </w:pPr>
            <w:r>
              <w:t>2014/15</w:t>
            </w:r>
          </w:p>
        </w:tc>
        <w:tc>
          <w:tcPr>
            <w:tcW w:w="2128" w:type="dxa"/>
            <w:shd w:val="clear" w:color="auto" w:fill="808080" w:themeFill="background1" w:themeFillShade="80"/>
          </w:tcPr>
          <w:p w14:paraId="776E37F4" w14:textId="6B06D670" w:rsidR="009D5BFD" w:rsidRDefault="001E58E7" w:rsidP="000A4649">
            <w:pPr>
              <w:jc w:val="center"/>
            </w:pPr>
            <w:r>
              <w:t>2014/15-2023/24</w:t>
            </w:r>
          </w:p>
        </w:tc>
      </w:tr>
      <w:tr w:rsidR="009D5BFD" w14:paraId="4418008F" w14:textId="32154552" w:rsidTr="00381564">
        <w:trPr>
          <w:jc w:val="center"/>
        </w:trPr>
        <w:tc>
          <w:tcPr>
            <w:tcW w:w="2038" w:type="dxa"/>
            <w:shd w:val="clear" w:color="auto" w:fill="808080" w:themeFill="background1" w:themeFillShade="80"/>
          </w:tcPr>
          <w:p w14:paraId="05E08191" w14:textId="2A9E7D5F" w:rsidR="009D5BFD" w:rsidRDefault="009D5BFD" w:rsidP="000A4649">
            <w:pPr>
              <w:jc w:val="center"/>
            </w:pPr>
            <w:r>
              <w:t>Postgraduate (Research)</w:t>
            </w:r>
          </w:p>
        </w:tc>
        <w:tc>
          <w:tcPr>
            <w:tcW w:w="1617" w:type="dxa"/>
            <w:shd w:val="clear" w:color="auto" w:fill="808080" w:themeFill="background1" w:themeFillShade="80"/>
          </w:tcPr>
          <w:p w14:paraId="2CBE9C1C" w14:textId="516B0C22" w:rsidR="009D5BFD" w:rsidRDefault="009D5BFD" w:rsidP="000A4649">
            <w:pPr>
              <w:jc w:val="center"/>
            </w:pPr>
            <w:r>
              <w:t>Quantitative</w:t>
            </w:r>
          </w:p>
        </w:tc>
        <w:tc>
          <w:tcPr>
            <w:tcW w:w="1278" w:type="dxa"/>
            <w:shd w:val="clear" w:color="auto" w:fill="808080" w:themeFill="background1" w:themeFillShade="80"/>
          </w:tcPr>
          <w:p w14:paraId="2777B7CA" w14:textId="036E129A" w:rsidR="009D5BFD" w:rsidRDefault="00B22B15" w:rsidP="000A4649">
            <w:pPr>
              <w:jc w:val="center"/>
            </w:pPr>
            <w:r>
              <w:t>Discrete</w:t>
            </w:r>
          </w:p>
        </w:tc>
        <w:tc>
          <w:tcPr>
            <w:tcW w:w="1866" w:type="dxa"/>
            <w:shd w:val="clear" w:color="auto" w:fill="808080" w:themeFill="background1" w:themeFillShade="80"/>
          </w:tcPr>
          <w:p w14:paraId="36D27D27" w14:textId="4C437412" w:rsidR="009D5BFD" w:rsidRDefault="00B22B15" w:rsidP="000A4649">
            <w:pPr>
              <w:jc w:val="center"/>
            </w:pPr>
            <w:r>
              <w:t>36,</w:t>
            </w:r>
            <w:r w:rsidR="001E58E7">
              <w:t>320</w:t>
            </w:r>
          </w:p>
        </w:tc>
        <w:tc>
          <w:tcPr>
            <w:tcW w:w="2128" w:type="dxa"/>
            <w:shd w:val="clear" w:color="auto" w:fill="808080" w:themeFill="background1" w:themeFillShade="80"/>
          </w:tcPr>
          <w:p w14:paraId="75112C3C" w14:textId="677B9C07" w:rsidR="009D5BFD" w:rsidRDefault="00381564" w:rsidP="000A4649">
            <w:pPr>
              <w:jc w:val="center"/>
            </w:pPr>
            <w:r>
              <w:t>25,000-37,000</w:t>
            </w:r>
          </w:p>
        </w:tc>
      </w:tr>
      <w:tr w:rsidR="009D5BFD" w14:paraId="508C54EB" w14:textId="77777777" w:rsidTr="00381564">
        <w:trPr>
          <w:jc w:val="center"/>
        </w:trPr>
        <w:tc>
          <w:tcPr>
            <w:tcW w:w="2038" w:type="dxa"/>
            <w:shd w:val="clear" w:color="auto" w:fill="808080" w:themeFill="background1" w:themeFillShade="80"/>
          </w:tcPr>
          <w:p w14:paraId="67DA3B0C" w14:textId="1AB50124" w:rsidR="009D5BFD" w:rsidRDefault="009D5BFD" w:rsidP="000A4649">
            <w:pPr>
              <w:jc w:val="center"/>
            </w:pPr>
            <w:r>
              <w:t>Postgraduate (Taught)</w:t>
            </w:r>
          </w:p>
        </w:tc>
        <w:tc>
          <w:tcPr>
            <w:tcW w:w="1617" w:type="dxa"/>
            <w:shd w:val="clear" w:color="auto" w:fill="808080" w:themeFill="background1" w:themeFillShade="80"/>
          </w:tcPr>
          <w:p w14:paraId="3A18380A" w14:textId="49887870" w:rsidR="009D5BFD" w:rsidRDefault="009D5BFD" w:rsidP="000A4649">
            <w:pPr>
              <w:jc w:val="center"/>
            </w:pPr>
            <w:r>
              <w:t>Quantitative</w:t>
            </w:r>
          </w:p>
        </w:tc>
        <w:tc>
          <w:tcPr>
            <w:tcW w:w="1278" w:type="dxa"/>
            <w:shd w:val="clear" w:color="auto" w:fill="808080" w:themeFill="background1" w:themeFillShade="80"/>
          </w:tcPr>
          <w:p w14:paraId="4E2ABB10" w14:textId="5DCAD709" w:rsidR="009D5BFD" w:rsidRDefault="00B22B15" w:rsidP="000A4649">
            <w:pPr>
              <w:jc w:val="center"/>
            </w:pPr>
            <w:r>
              <w:t>Discrete</w:t>
            </w:r>
          </w:p>
        </w:tc>
        <w:tc>
          <w:tcPr>
            <w:tcW w:w="1866" w:type="dxa"/>
            <w:shd w:val="clear" w:color="auto" w:fill="808080" w:themeFill="background1" w:themeFillShade="80"/>
          </w:tcPr>
          <w:p w14:paraId="58573013" w14:textId="5E72351B" w:rsidR="009D5BFD" w:rsidRDefault="001E58E7" w:rsidP="000A4649">
            <w:pPr>
              <w:jc w:val="center"/>
            </w:pPr>
            <w:r>
              <w:t>281,450</w:t>
            </w:r>
          </w:p>
        </w:tc>
        <w:tc>
          <w:tcPr>
            <w:tcW w:w="2128" w:type="dxa"/>
            <w:shd w:val="clear" w:color="auto" w:fill="808080" w:themeFill="background1" w:themeFillShade="80"/>
          </w:tcPr>
          <w:p w14:paraId="23DC2BE2" w14:textId="2FBE522C" w:rsidR="009D5BFD" w:rsidRDefault="00381564" w:rsidP="000A4649">
            <w:pPr>
              <w:jc w:val="center"/>
            </w:pPr>
            <w:r>
              <w:t>234,000-548,000</w:t>
            </w:r>
          </w:p>
        </w:tc>
      </w:tr>
      <w:tr w:rsidR="009D5BFD" w14:paraId="4C30119C" w14:textId="77777777" w:rsidTr="00381564">
        <w:trPr>
          <w:jc w:val="center"/>
        </w:trPr>
        <w:tc>
          <w:tcPr>
            <w:tcW w:w="2038" w:type="dxa"/>
            <w:shd w:val="clear" w:color="auto" w:fill="808080" w:themeFill="background1" w:themeFillShade="80"/>
          </w:tcPr>
          <w:p w14:paraId="32A290B7" w14:textId="1057CAAC" w:rsidR="009D5BFD" w:rsidRDefault="009D5BFD" w:rsidP="000A4649">
            <w:pPr>
              <w:jc w:val="center"/>
            </w:pPr>
            <w:r>
              <w:t>First Degree</w:t>
            </w:r>
          </w:p>
        </w:tc>
        <w:tc>
          <w:tcPr>
            <w:tcW w:w="1617" w:type="dxa"/>
            <w:shd w:val="clear" w:color="auto" w:fill="808080" w:themeFill="background1" w:themeFillShade="80"/>
          </w:tcPr>
          <w:p w14:paraId="2196920D" w14:textId="18C1E0BC" w:rsidR="009D5BFD" w:rsidRDefault="009D5BFD" w:rsidP="000A4649">
            <w:pPr>
              <w:jc w:val="center"/>
            </w:pPr>
            <w:r>
              <w:t>Quantitative</w:t>
            </w:r>
          </w:p>
        </w:tc>
        <w:tc>
          <w:tcPr>
            <w:tcW w:w="1278" w:type="dxa"/>
            <w:shd w:val="clear" w:color="auto" w:fill="808080" w:themeFill="background1" w:themeFillShade="80"/>
          </w:tcPr>
          <w:p w14:paraId="286DC0D6" w14:textId="02AD6888" w:rsidR="009D5BFD" w:rsidRDefault="00B22B15" w:rsidP="000A4649">
            <w:pPr>
              <w:jc w:val="center"/>
            </w:pPr>
            <w:r>
              <w:t>Discrete</w:t>
            </w:r>
          </w:p>
        </w:tc>
        <w:tc>
          <w:tcPr>
            <w:tcW w:w="1866" w:type="dxa"/>
            <w:shd w:val="clear" w:color="auto" w:fill="808080" w:themeFill="background1" w:themeFillShade="80"/>
          </w:tcPr>
          <w:p w14:paraId="158B897E" w14:textId="0BEA346B" w:rsidR="009D5BFD" w:rsidRDefault="001E58E7" w:rsidP="000A4649">
            <w:pPr>
              <w:jc w:val="center"/>
            </w:pPr>
            <w:r>
              <w:t>536,925</w:t>
            </w:r>
          </w:p>
        </w:tc>
        <w:tc>
          <w:tcPr>
            <w:tcW w:w="2128" w:type="dxa"/>
            <w:shd w:val="clear" w:color="auto" w:fill="808080" w:themeFill="background1" w:themeFillShade="80"/>
          </w:tcPr>
          <w:p w14:paraId="25265FA5" w14:textId="25AA3B84" w:rsidR="009D5BFD" w:rsidRDefault="00381564" w:rsidP="000A4649">
            <w:pPr>
              <w:jc w:val="center"/>
            </w:pPr>
            <w:r>
              <w:t>399,000-660,000</w:t>
            </w:r>
          </w:p>
        </w:tc>
      </w:tr>
      <w:tr w:rsidR="009D5BFD" w14:paraId="3857F71F" w14:textId="77777777" w:rsidTr="00381564">
        <w:trPr>
          <w:jc w:val="center"/>
        </w:trPr>
        <w:tc>
          <w:tcPr>
            <w:tcW w:w="2038" w:type="dxa"/>
            <w:shd w:val="clear" w:color="auto" w:fill="808080" w:themeFill="background1" w:themeFillShade="80"/>
          </w:tcPr>
          <w:p w14:paraId="6B207140" w14:textId="5825F1D5" w:rsidR="009D5BFD" w:rsidRDefault="009D5BFD" w:rsidP="000A4649">
            <w:pPr>
              <w:jc w:val="center"/>
            </w:pPr>
            <w:r>
              <w:t>Other Undergraduate</w:t>
            </w:r>
          </w:p>
        </w:tc>
        <w:tc>
          <w:tcPr>
            <w:tcW w:w="1617" w:type="dxa"/>
            <w:shd w:val="clear" w:color="auto" w:fill="808080" w:themeFill="background1" w:themeFillShade="80"/>
          </w:tcPr>
          <w:p w14:paraId="56A58D73" w14:textId="6E0A777D" w:rsidR="009D5BFD" w:rsidRDefault="009D5BFD" w:rsidP="000A4649">
            <w:pPr>
              <w:jc w:val="center"/>
            </w:pPr>
            <w:r>
              <w:t>Quantitative</w:t>
            </w:r>
          </w:p>
        </w:tc>
        <w:tc>
          <w:tcPr>
            <w:tcW w:w="1278" w:type="dxa"/>
            <w:shd w:val="clear" w:color="auto" w:fill="808080" w:themeFill="background1" w:themeFillShade="80"/>
          </w:tcPr>
          <w:p w14:paraId="28304F84" w14:textId="079DBF73" w:rsidR="009D5BFD" w:rsidRDefault="00B22B15" w:rsidP="000A4649">
            <w:pPr>
              <w:jc w:val="center"/>
            </w:pPr>
            <w:r>
              <w:t>Discrete</w:t>
            </w:r>
          </w:p>
        </w:tc>
        <w:tc>
          <w:tcPr>
            <w:tcW w:w="1866" w:type="dxa"/>
            <w:shd w:val="clear" w:color="auto" w:fill="808080" w:themeFill="background1" w:themeFillShade="80"/>
          </w:tcPr>
          <w:p w14:paraId="60675384" w14:textId="3A5A6889" w:rsidR="009D5BFD" w:rsidRDefault="001E58E7" w:rsidP="000A4649">
            <w:pPr>
              <w:jc w:val="center"/>
            </w:pPr>
            <w:r>
              <w:t>155,740</w:t>
            </w:r>
          </w:p>
        </w:tc>
        <w:tc>
          <w:tcPr>
            <w:tcW w:w="2128" w:type="dxa"/>
            <w:shd w:val="clear" w:color="auto" w:fill="808080" w:themeFill="background1" w:themeFillShade="80"/>
          </w:tcPr>
          <w:p w14:paraId="76FBE39D" w14:textId="5E34C446" w:rsidR="009D5BFD" w:rsidRDefault="00381564" w:rsidP="000A4649">
            <w:pPr>
              <w:jc w:val="center"/>
            </w:pPr>
            <w:r>
              <w:t>69,000-155,000</w:t>
            </w:r>
          </w:p>
        </w:tc>
      </w:tr>
    </w:tbl>
    <w:p w14:paraId="33AEEB5F" w14:textId="77777777" w:rsidR="006C2491" w:rsidRDefault="006C2491" w:rsidP="000A4649">
      <w:pPr>
        <w:jc w:val="both"/>
      </w:pPr>
    </w:p>
    <w:p w14:paraId="6603C1DE" w14:textId="5B3DB26E" w:rsidR="00EC4080" w:rsidRDefault="00CB58E9" w:rsidP="000A4649">
      <w:pPr>
        <w:jc w:val="both"/>
      </w:pPr>
      <w:r>
        <w:t xml:space="preserve">There are no missing or null values within </w:t>
      </w:r>
      <w:r w:rsidR="004325FC">
        <w:t xml:space="preserve">either of the datasets that I am using with all rows containing a complete data value for each </w:t>
      </w:r>
      <w:r w:rsidR="00462CCA">
        <w:t>of the year and category.</w:t>
      </w:r>
      <w:r w:rsidR="0030682F">
        <w:t xml:space="preserve"> The format of the datasets remains consistent </w:t>
      </w:r>
      <w:r w:rsidR="004F0619">
        <w:t xml:space="preserve">and there are no duplication of rows or any entries of data that appears to be an error. </w:t>
      </w:r>
      <w:r w:rsidR="00A050C7">
        <w:t>The data appears to be raw and unprocessed</w:t>
      </w:r>
      <w:r w:rsidR="00EB0319">
        <w:t>.</w:t>
      </w:r>
    </w:p>
    <w:p w14:paraId="33229C70" w14:textId="1BF4A707" w:rsidR="00BC63C1" w:rsidRPr="00AF15F4" w:rsidRDefault="00BC63C1" w:rsidP="000A4649">
      <w:pPr>
        <w:jc w:val="both"/>
      </w:pPr>
      <w:r>
        <w:t xml:space="preserve">The datasets have been published by the Higher Education Statistics Agency otherwise known as HESA and they are licenced under the Creative Commons Attribution 4.0 this allows them </w:t>
      </w:r>
      <w:r w:rsidR="007F29E5">
        <w:t xml:space="preserve">open access and reuse. They structure their data in CSV format and have sourced their data from institutional records which update </w:t>
      </w:r>
      <w:r w:rsidR="00207351">
        <w:t>annually</w:t>
      </w:r>
      <w:r w:rsidR="007F29E5">
        <w:t xml:space="preserve">. Metadata includes the titles, source links and the reference IDs </w:t>
      </w:r>
      <w:r w:rsidR="005629E8">
        <w:t xml:space="preserve">but there is a lack of embedded technical details like the error rates or the origins of their data. The data is assumed to be accurate and complete with it being </w:t>
      </w:r>
      <w:r w:rsidR="008150B5">
        <w:t xml:space="preserve">compiled for public reporting </w:t>
      </w:r>
      <w:r w:rsidR="00207351">
        <w:t>and a policy analysis. No sensitive or personal data is included in these datasets are included and the datasets are suitable for educational and analytical use without any additional security requirements.</w:t>
      </w:r>
    </w:p>
    <w:p w14:paraId="7F5B6794" w14:textId="26AA1566" w:rsidR="0080332E" w:rsidRPr="003827FA" w:rsidRDefault="0080332E" w:rsidP="000A4649">
      <w:pPr>
        <w:jc w:val="both"/>
      </w:pPr>
      <w:r>
        <w:t xml:space="preserve">The data is highly suitable for the visualisation and the analysis of data. It presents itself as accurate, complete and is </w:t>
      </w:r>
      <w:r w:rsidR="00464AFD">
        <w:t xml:space="preserve">clearing structured. The use of a consistent categories across </w:t>
      </w:r>
      <w:r w:rsidR="00F908E6">
        <w:t>both datasets</w:t>
      </w:r>
      <w:r w:rsidR="00464AFD">
        <w:t xml:space="preserve"> which allows for them to result </w:t>
      </w:r>
      <w:r w:rsidR="00F908E6">
        <w:t xml:space="preserve">for comparative analysis. The </w:t>
      </w:r>
      <w:r w:rsidR="00EC4080">
        <w:t>numerical values appear as appropriate for visualisation in bar charts, line graphs or other various visual forms.</w:t>
      </w:r>
    </w:p>
    <w:p w14:paraId="6EB73A26" w14:textId="3967A921" w:rsidR="000E2E25" w:rsidRDefault="000E2E25" w:rsidP="000A4649">
      <w:pPr>
        <w:jc w:val="both"/>
        <w:rPr>
          <w:b/>
          <w:bCs/>
        </w:rPr>
      </w:pPr>
      <w:r w:rsidRPr="000E2E25">
        <w:rPr>
          <w:b/>
          <w:bCs/>
        </w:rPr>
        <w:t>Sample Rows</w:t>
      </w:r>
    </w:p>
    <w:p w14:paraId="1C704679" w14:textId="2D694C9F" w:rsidR="000E2E25" w:rsidRPr="000E2E25" w:rsidRDefault="000E2E25" w:rsidP="000A4649">
      <w:pPr>
        <w:jc w:val="both"/>
      </w:pPr>
      <w:r>
        <w:t>Below are sample rows from figure 2 enrolments dataset.</w:t>
      </w:r>
    </w:p>
    <w:tbl>
      <w:tblPr>
        <w:tblStyle w:val="TableGrid"/>
        <w:tblW w:w="9837" w:type="dxa"/>
        <w:jc w:val="center"/>
        <w:tblLayout w:type="fixed"/>
        <w:tblLook w:val="04A0" w:firstRow="1" w:lastRow="0" w:firstColumn="1" w:lastColumn="0" w:noHBand="0" w:noVBand="1"/>
      </w:tblPr>
      <w:tblGrid>
        <w:gridCol w:w="1696"/>
        <w:gridCol w:w="2552"/>
        <w:gridCol w:w="2158"/>
        <w:gridCol w:w="1347"/>
        <w:gridCol w:w="2084"/>
      </w:tblGrid>
      <w:tr w:rsidR="00E24F93" w14:paraId="4B9B4D86" w14:textId="77777777" w:rsidTr="00E24F93">
        <w:trPr>
          <w:jc w:val="center"/>
        </w:trPr>
        <w:tc>
          <w:tcPr>
            <w:tcW w:w="1696" w:type="dxa"/>
            <w:shd w:val="clear" w:color="auto" w:fill="595959" w:themeFill="text1" w:themeFillTint="A6"/>
          </w:tcPr>
          <w:p w14:paraId="564B965A" w14:textId="6E870981" w:rsidR="00E24F93" w:rsidRPr="00E24F93" w:rsidRDefault="00E24F93" w:rsidP="000A4649">
            <w:pPr>
              <w:jc w:val="center"/>
            </w:pPr>
            <w:r w:rsidRPr="00E24F93">
              <w:t>Academic Year</w:t>
            </w:r>
          </w:p>
        </w:tc>
        <w:tc>
          <w:tcPr>
            <w:tcW w:w="2552" w:type="dxa"/>
            <w:shd w:val="clear" w:color="auto" w:fill="595959" w:themeFill="text1" w:themeFillTint="A6"/>
          </w:tcPr>
          <w:p w14:paraId="2CD3EDB6" w14:textId="63F97EBF" w:rsidR="00E24F93" w:rsidRPr="00E24F93" w:rsidRDefault="00E24F93" w:rsidP="000A4649">
            <w:pPr>
              <w:jc w:val="center"/>
            </w:pPr>
            <w:r w:rsidRPr="00E24F93">
              <w:t>Postgraduate Research</w:t>
            </w:r>
          </w:p>
        </w:tc>
        <w:tc>
          <w:tcPr>
            <w:tcW w:w="2158" w:type="dxa"/>
            <w:shd w:val="clear" w:color="auto" w:fill="595959" w:themeFill="text1" w:themeFillTint="A6"/>
          </w:tcPr>
          <w:p w14:paraId="595331FD" w14:textId="7495E515" w:rsidR="00E24F93" w:rsidRPr="00E24F93" w:rsidRDefault="00E24F93" w:rsidP="000A4649">
            <w:pPr>
              <w:jc w:val="center"/>
            </w:pPr>
            <w:r w:rsidRPr="00E24F93">
              <w:t>Postgraduate Taught</w:t>
            </w:r>
          </w:p>
        </w:tc>
        <w:tc>
          <w:tcPr>
            <w:tcW w:w="1347" w:type="dxa"/>
            <w:shd w:val="clear" w:color="auto" w:fill="595959" w:themeFill="text1" w:themeFillTint="A6"/>
          </w:tcPr>
          <w:p w14:paraId="67B18CB3" w14:textId="22FA82F9" w:rsidR="00E24F93" w:rsidRPr="00E24F93" w:rsidRDefault="00E24F93" w:rsidP="000A4649">
            <w:pPr>
              <w:jc w:val="center"/>
            </w:pPr>
            <w:r w:rsidRPr="00E24F93">
              <w:t>First Degree</w:t>
            </w:r>
          </w:p>
        </w:tc>
        <w:tc>
          <w:tcPr>
            <w:tcW w:w="2084" w:type="dxa"/>
            <w:shd w:val="clear" w:color="auto" w:fill="595959" w:themeFill="text1" w:themeFillTint="A6"/>
          </w:tcPr>
          <w:p w14:paraId="216FAE68" w14:textId="6AE72F97" w:rsidR="00E24F93" w:rsidRPr="00E24F93" w:rsidRDefault="00E24F93" w:rsidP="000A4649">
            <w:pPr>
              <w:jc w:val="center"/>
            </w:pPr>
            <w:r w:rsidRPr="00E24F93">
              <w:t>Other Undergraduate</w:t>
            </w:r>
          </w:p>
        </w:tc>
      </w:tr>
      <w:tr w:rsidR="00E24F93" w14:paraId="0279E998" w14:textId="77777777" w:rsidTr="00E24F93">
        <w:trPr>
          <w:jc w:val="center"/>
        </w:trPr>
        <w:tc>
          <w:tcPr>
            <w:tcW w:w="1696" w:type="dxa"/>
            <w:shd w:val="clear" w:color="auto" w:fill="808080" w:themeFill="background1" w:themeFillShade="80"/>
          </w:tcPr>
          <w:p w14:paraId="1FF9D9CF" w14:textId="6E2B6406" w:rsidR="00E24F93" w:rsidRPr="00E24F93" w:rsidRDefault="00E24F93" w:rsidP="000A4649">
            <w:pPr>
              <w:jc w:val="center"/>
            </w:pPr>
            <w:r w:rsidRPr="00E24F93">
              <w:t>2014/15</w:t>
            </w:r>
          </w:p>
        </w:tc>
        <w:tc>
          <w:tcPr>
            <w:tcW w:w="2552" w:type="dxa"/>
            <w:shd w:val="clear" w:color="auto" w:fill="808080" w:themeFill="background1" w:themeFillShade="80"/>
          </w:tcPr>
          <w:p w14:paraId="4F25A2A7" w14:textId="0291CDB6" w:rsidR="00E24F93" w:rsidRPr="00E24F93" w:rsidRDefault="00E24F93" w:rsidP="000A4649">
            <w:pPr>
              <w:jc w:val="center"/>
            </w:pPr>
            <w:r>
              <w:t>36,320</w:t>
            </w:r>
          </w:p>
        </w:tc>
        <w:tc>
          <w:tcPr>
            <w:tcW w:w="2158" w:type="dxa"/>
            <w:shd w:val="clear" w:color="auto" w:fill="808080" w:themeFill="background1" w:themeFillShade="80"/>
          </w:tcPr>
          <w:p w14:paraId="71DDD34E" w14:textId="1AABC867" w:rsidR="00E24F93" w:rsidRPr="00E24F93" w:rsidRDefault="00E24F93" w:rsidP="000A4649">
            <w:pPr>
              <w:jc w:val="center"/>
            </w:pPr>
            <w:r>
              <w:t>281,450</w:t>
            </w:r>
          </w:p>
        </w:tc>
        <w:tc>
          <w:tcPr>
            <w:tcW w:w="1347" w:type="dxa"/>
            <w:shd w:val="clear" w:color="auto" w:fill="808080" w:themeFill="background1" w:themeFillShade="80"/>
          </w:tcPr>
          <w:p w14:paraId="66005417" w14:textId="7933B5FB" w:rsidR="00E24F93" w:rsidRPr="00E24F93" w:rsidRDefault="00E24F93" w:rsidP="000A4649">
            <w:pPr>
              <w:jc w:val="center"/>
            </w:pPr>
            <w:r>
              <w:t>536,925</w:t>
            </w:r>
          </w:p>
        </w:tc>
        <w:tc>
          <w:tcPr>
            <w:tcW w:w="2084" w:type="dxa"/>
            <w:shd w:val="clear" w:color="auto" w:fill="808080" w:themeFill="background1" w:themeFillShade="80"/>
          </w:tcPr>
          <w:p w14:paraId="35A6E0D4" w14:textId="7BDEF55D" w:rsidR="00E24F93" w:rsidRPr="00E24F93" w:rsidRDefault="00E24F93" w:rsidP="000A4649">
            <w:pPr>
              <w:jc w:val="center"/>
            </w:pPr>
            <w:r>
              <w:t>155,740</w:t>
            </w:r>
          </w:p>
        </w:tc>
      </w:tr>
      <w:tr w:rsidR="00E24F93" w14:paraId="662A0E02" w14:textId="77777777" w:rsidTr="00E24F93">
        <w:trPr>
          <w:jc w:val="center"/>
        </w:trPr>
        <w:tc>
          <w:tcPr>
            <w:tcW w:w="1696" w:type="dxa"/>
            <w:shd w:val="clear" w:color="auto" w:fill="808080" w:themeFill="background1" w:themeFillShade="80"/>
          </w:tcPr>
          <w:p w14:paraId="2EE0E90D" w14:textId="307F47CC" w:rsidR="00E24F93" w:rsidRPr="00E24F93" w:rsidRDefault="00E24F93" w:rsidP="000A4649">
            <w:pPr>
              <w:jc w:val="center"/>
            </w:pPr>
            <w:r w:rsidRPr="00E24F93">
              <w:t>2015/16</w:t>
            </w:r>
          </w:p>
        </w:tc>
        <w:tc>
          <w:tcPr>
            <w:tcW w:w="2552" w:type="dxa"/>
            <w:shd w:val="clear" w:color="auto" w:fill="808080" w:themeFill="background1" w:themeFillShade="80"/>
          </w:tcPr>
          <w:p w14:paraId="0559772F" w14:textId="3BD3716C" w:rsidR="00E24F93" w:rsidRPr="00E24F93" w:rsidRDefault="00E24F93" w:rsidP="000A4649">
            <w:pPr>
              <w:jc w:val="center"/>
            </w:pPr>
            <w:r>
              <w:t>35,975</w:t>
            </w:r>
          </w:p>
        </w:tc>
        <w:tc>
          <w:tcPr>
            <w:tcW w:w="2158" w:type="dxa"/>
            <w:shd w:val="clear" w:color="auto" w:fill="808080" w:themeFill="background1" w:themeFillShade="80"/>
          </w:tcPr>
          <w:p w14:paraId="543E0949" w14:textId="080E92B4" w:rsidR="00E24F93" w:rsidRPr="00E24F93" w:rsidRDefault="00E24F93" w:rsidP="000A4649">
            <w:pPr>
              <w:jc w:val="center"/>
            </w:pPr>
            <w:r>
              <w:t>282,060</w:t>
            </w:r>
          </w:p>
        </w:tc>
        <w:tc>
          <w:tcPr>
            <w:tcW w:w="1347" w:type="dxa"/>
            <w:shd w:val="clear" w:color="auto" w:fill="808080" w:themeFill="background1" w:themeFillShade="80"/>
          </w:tcPr>
          <w:p w14:paraId="6AF70CBC" w14:textId="06CDDCAF" w:rsidR="00E24F93" w:rsidRPr="00E24F93" w:rsidRDefault="00E24F93" w:rsidP="000A4649">
            <w:pPr>
              <w:jc w:val="center"/>
            </w:pPr>
            <w:r>
              <w:t>557,065</w:t>
            </w:r>
          </w:p>
        </w:tc>
        <w:tc>
          <w:tcPr>
            <w:tcW w:w="2084" w:type="dxa"/>
            <w:shd w:val="clear" w:color="auto" w:fill="808080" w:themeFill="background1" w:themeFillShade="80"/>
          </w:tcPr>
          <w:p w14:paraId="22B0729F" w14:textId="6F663CBB" w:rsidR="00E24F93" w:rsidRPr="00E24F93" w:rsidRDefault="00E24F93" w:rsidP="000A4649">
            <w:pPr>
              <w:jc w:val="center"/>
            </w:pPr>
            <w:r>
              <w:t>143,850</w:t>
            </w:r>
          </w:p>
        </w:tc>
      </w:tr>
      <w:tr w:rsidR="00E24F93" w14:paraId="773400A5" w14:textId="77777777" w:rsidTr="00E24F93">
        <w:trPr>
          <w:jc w:val="center"/>
        </w:trPr>
        <w:tc>
          <w:tcPr>
            <w:tcW w:w="1696" w:type="dxa"/>
            <w:shd w:val="clear" w:color="auto" w:fill="808080" w:themeFill="background1" w:themeFillShade="80"/>
          </w:tcPr>
          <w:p w14:paraId="3CBCDE47" w14:textId="015811DE" w:rsidR="00E24F93" w:rsidRPr="00E24F93" w:rsidRDefault="00E24F93" w:rsidP="000A4649">
            <w:pPr>
              <w:jc w:val="center"/>
            </w:pPr>
            <w:r w:rsidRPr="00E24F93">
              <w:t>2016/17</w:t>
            </w:r>
          </w:p>
        </w:tc>
        <w:tc>
          <w:tcPr>
            <w:tcW w:w="2552" w:type="dxa"/>
            <w:shd w:val="clear" w:color="auto" w:fill="808080" w:themeFill="background1" w:themeFillShade="80"/>
          </w:tcPr>
          <w:p w14:paraId="34A81014" w14:textId="44D3FA5A" w:rsidR="00E24F93" w:rsidRPr="00E24F93" w:rsidRDefault="00E24F93" w:rsidP="000A4649">
            <w:pPr>
              <w:jc w:val="center"/>
            </w:pPr>
            <w:r>
              <w:t>35,340</w:t>
            </w:r>
          </w:p>
        </w:tc>
        <w:tc>
          <w:tcPr>
            <w:tcW w:w="2158" w:type="dxa"/>
            <w:shd w:val="clear" w:color="auto" w:fill="808080" w:themeFill="background1" w:themeFillShade="80"/>
          </w:tcPr>
          <w:p w14:paraId="2E7D9147" w14:textId="2AF5CE1E" w:rsidR="00E24F93" w:rsidRPr="00E24F93" w:rsidRDefault="00E24F93" w:rsidP="000A4649">
            <w:pPr>
              <w:jc w:val="center"/>
            </w:pPr>
            <w:r>
              <w:t>314,045</w:t>
            </w:r>
          </w:p>
        </w:tc>
        <w:tc>
          <w:tcPr>
            <w:tcW w:w="1347" w:type="dxa"/>
            <w:shd w:val="clear" w:color="auto" w:fill="808080" w:themeFill="background1" w:themeFillShade="80"/>
          </w:tcPr>
          <w:p w14:paraId="223B2B9C" w14:textId="24959DAF" w:rsidR="00E24F93" w:rsidRPr="00E24F93" w:rsidRDefault="00E24F93" w:rsidP="000A4649">
            <w:pPr>
              <w:jc w:val="center"/>
            </w:pPr>
            <w:r>
              <w:t>563,505</w:t>
            </w:r>
          </w:p>
        </w:tc>
        <w:tc>
          <w:tcPr>
            <w:tcW w:w="2084" w:type="dxa"/>
            <w:shd w:val="clear" w:color="auto" w:fill="808080" w:themeFill="background1" w:themeFillShade="80"/>
          </w:tcPr>
          <w:p w14:paraId="5304B8D7" w14:textId="13938274" w:rsidR="00E24F93" w:rsidRPr="00E24F93" w:rsidRDefault="00E24F93" w:rsidP="000A4649">
            <w:pPr>
              <w:jc w:val="center"/>
            </w:pPr>
            <w:r>
              <w:t>131,935</w:t>
            </w:r>
          </w:p>
        </w:tc>
      </w:tr>
    </w:tbl>
    <w:p w14:paraId="3F35992C" w14:textId="66FB7496" w:rsidR="00CF190E" w:rsidRDefault="00E24F93" w:rsidP="000A4649">
      <w:pPr>
        <w:jc w:val="both"/>
      </w:pPr>
      <w:r>
        <w:lastRenderedPageBreak/>
        <w:t xml:space="preserve">These rows </w:t>
      </w:r>
      <w:r w:rsidR="005D4DA3">
        <w:t>illustrate the structure and consistent forms of data with similar formatting as found within the qualification’s dataset.</w:t>
      </w:r>
    </w:p>
    <w:p w14:paraId="4C58ED23" w14:textId="6E3D34F3" w:rsidR="001E3B10" w:rsidRDefault="001E3B10" w:rsidP="000A4649">
      <w:pPr>
        <w:pStyle w:val="Heading1"/>
        <w:jc w:val="both"/>
        <w:rPr>
          <w:b/>
          <w:bCs/>
          <w:color w:val="auto"/>
        </w:rPr>
      </w:pPr>
      <w:r w:rsidRPr="001E3B10">
        <w:rPr>
          <w:b/>
          <w:bCs/>
          <w:color w:val="auto"/>
        </w:rPr>
        <w:t>Data Use/ Purpose</w:t>
      </w:r>
    </w:p>
    <w:p w14:paraId="5568C377" w14:textId="0FCEFD2B" w:rsidR="0015479C" w:rsidRDefault="0015479C" w:rsidP="000A4649">
      <w:pPr>
        <w:pStyle w:val="NoSpacing"/>
        <w:jc w:val="both"/>
      </w:pPr>
      <w:r w:rsidRPr="0015479C">
        <w:t>Reflecting on how the datasets are presented, HE enrolments by level of study and HE qualification obtained by level of qualification can be used to create meaningful visualisations and insights. The goal is to assess the suitability of the data for uses for the visualisation task and to consider the context in which the data can be used.</w:t>
      </w:r>
    </w:p>
    <w:p w14:paraId="39502463" w14:textId="77777777" w:rsidR="0015479C" w:rsidRPr="0015479C" w:rsidRDefault="0015479C" w:rsidP="000A4649">
      <w:pPr>
        <w:pStyle w:val="NoSpacing"/>
        <w:jc w:val="both"/>
      </w:pPr>
    </w:p>
    <w:p w14:paraId="5A2814B3" w14:textId="77777777" w:rsidR="0015479C" w:rsidRPr="0015479C" w:rsidRDefault="0015479C" w:rsidP="000A4649">
      <w:pPr>
        <w:pStyle w:val="NoSpacing"/>
        <w:jc w:val="both"/>
      </w:pPr>
      <w:r w:rsidRPr="0015479C">
        <w:rPr>
          <w:b/>
          <w:bCs/>
        </w:rPr>
        <w:t>Task and Purpose</w:t>
      </w:r>
    </w:p>
    <w:p w14:paraId="4EAEF01E" w14:textId="77777777" w:rsidR="0015479C" w:rsidRPr="0015479C" w:rsidRDefault="0015479C" w:rsidP="000A4649">
      <w:pPr>
        <w:pStyle w:val="NoSpacing"/>
        <w:jc w:val="both"/>
      </w:pPr>
      <w:r w:rsidRPr="0015479C">
        <w:t>The main goal that has been set is to compare the trends from each of the datasets between enrolments and qualification outcomes across different levels of study over the ten years. My analysis will aim to reveal the pattern across higher education participation and achievement and identifying areas of any growth or decline within those years. The visualisation will help viewers understand how higher education enrolments numbers relate to the achieving qualifications and whether the certain study levels show a consistent progression or if there is any fall over the years. The purpose of my visualisation is through both explanatory and exploratory the visualisation will explain how the numbers of students have evolved over time and will allow viewers to explore the differences between postgraduates and undergraduates’ pathways. It may also support policy discussion that will provide an insight into funding, access and the completion rate of higher education routes.</w:t>
      </w:r>
    </w:p>
    <w:p w14:paraId="55B9FD5A" w14:textId="77777777" w:rsidR="000A4649" w:rsidRPr="000A4649" w:rsidRDefault="000A4649" w:rsidP="000A4649">
      <w:pPr>
        <w:pStyle w:val="NoSpacing"/>
        <w:jc w:val="both"/>
      </w:pPr>
      <w:r w:rsidRPr="000A4649">
        <w:rPr>
          <w:b/>
          <w:bCs/>
        </w:rPr>
        <w:t>Analytical Goals</w:t>
      </w:r>
    </w:p>
    <w:p w14:paraId="5B393A5D" w14:textId="77777777" w:rsidR="000A4649" w:rsidRPr="000A4649" w:rsidRDefault="000A4649" w:rsidP="000A4649">
      <w:pPr>
        <w:pStyle w:val="NoSpacing"/>
        <w:jc w:val="both"/>
      </w:pPr>
      <w:r w:rsidRPr="000A4649">
        <w:t>The data from both sets allows various analytical tasks such as trend analysis through identifying the increases or decreases in the enrolments and qualifications over time, Comparison can be made by evaluating the differences between study levels (e.g. taught masters vs. research masters). Ratio analysis can be done to compare the number of entrants vs. the number of those who achieved a qualification. Highlighting gaps spotting the years or categories where numbers from the dataset show a different rate than one another. These tasks allow the support through visualisations such as bar charts, line graphs, ratio plots which will allow me to show a well-designed way of showing the data from my set.</w:t>
      </w:r>
    </w:p>
    <w:p w14:paraId="3D80E55E" w14:textId="77777777" w:rsidR="000A4649" w:rsidRPr="000A4649" w:rsidRDefault="000A4649" w:rsidP="000A4649">
      <w:pPr>
        <w:pStyle w:val="NoSpacing"/>
        <w:jc w:val="both"/>
      </w:pPr>
      <w:r w:rsidRPr="000A4649">
        <w:rPr>
          <w:b/>
          <w:bCs/>
        </w:rPr>
        <w:t>Visualisation Task</w:t>
      </w:r>
    </w:p>
    <w:p w14:paraId="14EC09FD" w14:textId="77777777" w:rsidR="000A4649" w:rsidRPr="000A4649" w:rsidRDefault="000A4649" w:rsidP="000A4649">
      <w:pPr>
        <w:pStyle w:val="NoSpacing"/>
        <w:jc w:val="both"/>
      </w:pPr>
      <w:r w:rsidRPr="000A4649">
        <w:t>This task will allow me to create my own visualisation of the data which could lead me into making a visual presentation of the data through utilising a line chart which could provide the enrolment trends through the study levels or a bar chart which shows the qualification outcomes from those years, there is potential that I could do a ratio plot which compares the entrants to the qualification through each of the categories. Interactive elements of my visualisation could be made if it were put onto the web through filters for years or study levels with the visualisation being created being accessible to users who wish to understand trends from one year to the next.</w:t>
      </w:r>
    </w:p>
    <w:p w14:paraId="3E47E349" w14:textId="77777777" w:rsidR="000A4649" w:rsidRPr="000A4649" w:rsidRDefault="000A4649" w:rsidP="000A4649">
      <w:pPr>
        <w:pStyle w:val="NoSpacing"/>
        <w:jc w:val="both"/>
      </w:pPr>
      <w:r w:rsidRPr="000A4649">
        <w:rPr>
          <w:b/>
          <w:bCs/>
        </w:rPr>
        <w:t>Audience</w:t>
      </w:r>
    </w:p>
    <w:p w14:paraId="66E74015" w14:textId="77777777" w:rsidR="000A4649" w:rsidRPr="000A4649" w:rsidRDefault="000A4649" w:rsidP="000A4649">
      <w:pPr>
        <w:pStyle w:val="NoSpacing"/>
        <w:jc w:val="both"/>
      </w:pPr>
      <w:r w:rsidRPr="000A4649">
        <w:t>The intended audience of this visualisation will be mainly researchers, lecturers and my peers exploring the higher education dynamics with this visualisation potentially having uses in reports/ presentations, online dashboards and educational materials.</w:t>
      </w:r>
    </w:p>
    <w:p w14:paraId="50925A4B" w14:textId="77777777" w:rsidR="000A4649" w:rsidRPr="000A4649" w:rsidRDefault="000A4649" w:rsidP="000A4649">
      <w:pPr>
        <w:pStyle w:val="NoSpacing"/>
        <w:jc w:val="both"/>
      </w:pPr>
      <w:r w:rsidRPr="000A4649">
        <w:rPr>
          <w:b/>
          <w:bCs/>
        </w:rPr>
        <w:lastRenderedPageBreak/>
        <w:t>Build and External Requirements</w:t>
      </w:r>
    </w:p>
    <w:p w14:paraId="199EC1F8" w14:textId="77777777" w:rsidR="000A4649" w:rsidRPr="000A4649" w:rsidRDefault="000A4649" w:rsidP="000A4649">
      <w:pPr>
        <w:pStyle w:val="NoSpacing"/>
        <w:jc w:val="both"/>
      </w:pPr>
      <w:r w:rsidRPr="000A4649">
        <w:t>The visualisation will be built using any available tools or skills that appear to be useful for my progress with no external help being required. The datasets are clean and structured in a manner that I can proceed with minimal preprocessing with the output of my visualisation being lightweight on tasks. No additional datasets are required although there were more sets that could be incorporated into this that would enrich the data through regional data but the current set of two is still sufficient to support my core visualisation goal.</w:t>
      </w:r>
    </w:p>
    <w:p w14:paraId="2E8B18A3" w14:textId="02B55ED3" w:rsidR="00CF190E" w:rsidRPr="00CF190E" w:rsidRDefault="00CF190E" w:rsidP="000A4649">
      <w:pPr>
        <w:pStyle w:val="NoSpacing"/>
        <w:jc w:val="both"/>
      </w:pPr>
    </w:p>
    <w:sectPr w:rsidR="00CF190E" w:rsidRPr="00CF19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00C2B"/>
    <w:multiLevelType w:val="multilevel"/>
    <w:tmpl w:val="01EE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880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B10"/>
    <w:rsid w:val="00004C34"/>
    <w:rsid w:val="0007011E"/>
    <w:rsid w:val="00072D32"/>
    <w:rsid w:val="000A4649"/>
    <w:rsid w:val="000C6D1C"/>
    <w:rsid w:val="000E00D8"/>
    <w:rsid w:val="000E2E25"/>
    <w:rsid w:val="00125286"/>
    <w:rsid w:val="0015479C"/>
    <w:rsid w:val="001E3B10"/>
    <w:rsid w:val="001E58E7"/>
    <w:rsid w:val="00201627"/>
    <w:rsid w:val="00207351"/>
    <w:rsid w:val="00210A2B"/>
    <w:rsid w:val="00252D1D"/>
    <w:rsid w:val="00282A54"/>
    <w:rsid w:val="00291D8B"/>
    <w:rsid w:val="002E4445"/>
    <w:rsid w:val="002E4811"/>
    <w:rsid w:val="00304F1B"/>
    <w:rsid w:val="0030682F"/>
    <w:rsid w:val="00336650"/>
    <w:rsid w:val="00381564"/>
    <w:rsid w:val="003827FA"/>
    <w:rsid w:val="003978C7"/>
    <w:rsid w:val="003C745F"/>
    <w:rsid w:val="004325FC"/>
    <w:rsid w:val="00441532"/>
    <w:rsid w:val="00462CCA"/>
    <w:rsid w:val="00464AFD"/>
    <w:rsid w:val="004B73F7"/>
    <w:rsid w:val="004F0619"/>
    <w:rsid w:val="0053141E"/>
    <w:rsid w:val="005629E8"/>
    <w:rsid w:val="005D4DA3"/>
    <w:rsid w:val="00637E9C"/>
    <w:rsid w:val="006B74B4"/>
    <w:rsid w:val="006B74E3"/>
    <w:rsid w:val="006C2491"/>
    <w:rsid w:val="006D1234"/>
    <w:rsid w:val="00716CC5"/>
    <w:rsid w:val="00726BC0"/>
    <w:rsid w:val="00783008"/>
    <w:rsid w:val="007F29E5"/>
    <w:rsid w:val="0080332E"/>
    <w:rsid w:val="008150B5"/>
    <w:rsid w:val="0088229A"/>
    <w:rsid w:val="0091579B"/>
    <w:rsid w:val="00956C9B"/>
    <w:rsid w:val="00964ACD"/>
    <w:rsid w:val="009D5BFD"/>
    <w:rsid w:val="009E31D7"/>
    <w:rsid w:val="00A050C7"/>
    <w:rsid w:val="00A11A65"/>
    <w:rsid w:val="00A35413"/>
    <w:rsid w:val="00AB4BD3"/>
    <w:rsid w:val="00AC3116"/>
    <w:rsid w:val="00AC3C2A"/>
    <w:rsid w:val="00AF15F4"/>
    <w:rsid w:val="00B03DB1"/>
    <w:rsid w:val="00B21917"/>
    <w:rsid w:val="00B22B15"/>
    <w:rsid w:val="00BC63C1"/>
    <w:rsid w:val="00C12DC2"/>
    <w:rsid w:val="00C36E26"/>
    <w:rsid w:val="00C9290E"/>
    <w:rsid w:val="00CB58E9"/>
    <w:rsid w:val="00CC02F9"/>
    <w:rsid w:val="00CF190E"/>
    <w:rsid w:val="00D41077"/>
    <w:rsid w:val="00D82103"/>
    <w:rsid w:val="00E24F93"/>
    <w:rsid w:val="00E63901"/>
    <w:rsid w:val="00E653E4"/>
    <w:rsid w:val="00EB0319"/>
    <w:rsid w:val="00EC4080"/>
    <w:rsid w:val="00F05EE9"/>
    <w:rsid w:val="00F908E6"/>
    <w:rsid w:val="00FB18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C326B"/>
  <w15:chartTrackingRefBased/>
  <w15:docId w15:val="{61A38A55-6E2B-4987-B526-B3CCA5DBC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B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B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B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B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B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B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B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B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B10"/>
    <w:rPr>
      <w:rFonts w:eastAsiaTheme="majorEastAsia" w:cstheme="majorBidi"/>
      <w:color w:val="272727" w:themeColor="text1" w:themeTint="D8"/>
    </w:rPr>
  </w:style>
  <w:style w:type="paragraph" w:styleId="Title">
    <w:name w:val="Title"/>
    <w:basedOn w:val="Normal"/>
    <w:next w:val="Normal"/>
    <w:link w:val="TitleChar"/>
    <w:uiPriority w:val="10"/>
    <w:qFormat/>
    <w:rsid w:val="001E3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B10"/>
    <w:pPr>
      <w:spacing w:before="160"/>
      <w:jc w:val="center"/>
    </w:pPr>
    <w:rPr>
      <w:i/>
      <w:iCs/>
      <w:color w:val="404040" w:themeColor="text1" w:themeTint="BF"/>
    </w:rPr>
  </w:style>
  <w:style w:type="character" w:customStyle="1" w:styleId="QuoteChar">
    <w:name w:val="Quote Char"/>
    <w:basedOn w:val="DefaultParagraphFont"/>
    <w:link w:val="Quote"/>
    <w:uiPriority w:val="29"/>
    <w:rsid w:val="001E3B10"/>
    <w:rPr>
      <w:i/>
      <w:iCs/>
      <w:color w:val="404040" w:themeColor="text1" w:themeTint="BF"/>
    </w:rPr>
  </w:style>
  <w:style w:type="paragraph" w:styleId="ListParagraph">
    <w:name w:val="List Paragraph"/>
    <w:basedOn w:val="Normal"/>
    <w:uiPriority w:val="34"/>
    <w:qFormat/>
    <w:rsid w:val="001E3B10"/>
    <w:pPr>
      <w:ind w:left="720"/>
      <w:contextualSpacing/>
    </w:pPr>
  </w:style>
  <w:style w:type="character" w:styleId="IntenseEmphasis">
    <w:name w:val="Intense Emphasis"/>
    <w:basedOn w:val="DefaultParagraphFont"/>
    <w:uiPriority w:val="21"/>
    <w:qFormat/>
    <w:rsid w:val="001E3B10"/>
    <w:rPr>
      <w:i/>
      <w:iCs/>
      <w:color w:val="0F4761" w:themeColor="accent1" w:themeShade="BF"/>
    </w:rPr>
  </w:style>
  <w:style w:type="paragraph" w:styleId="IntenseQuote">
    <w:name w:val="Intense Quote"/>
    <w:basedOn w:val="Normal"/>
    <w:next w:val="Normal"/>
    <w:link w:val="IntenseQuoteChar"/>
    <w:uiPriority w:val="30"/>
    <w:qFormat/>
    <w:rsid w:val="001E3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B10"/>
    <w:rPr>
      <w:i/>
      <w:iCs/>
      <w:color w:val="0F4761" w:themeColor="accent1" w:themeShade="BF"/>
    </w:rPr>
  </w:style>
  <w:style w:type="character" w:styleId="IntenseReference">
    <w:name w:val="Intense Reference"/>
    <w:basedOn w:val="DefaultParagraphFont"/>
    <w:uiPriority w:val="32"/>
    <w:qFormat/>
    <w:rsid w:val="001E3B10"/>
    <w:rPr>
      <w:b/>
      <w:bCs/>
      <w:smallCaps/>
      <w:color w:val="0F4761" w:themeColor="accent1" w:themeShade="BF"/>
      <w:spacing w:val="5"/>
    </w:rPr>
  </w:style>
  <w:style w:type="table" w:styleId="TableGrid">
    <w:name w:val="Table Grid"/>
    <w:basedOn w:val="TableNormal"/>
    <w:uiPriority w:val="39"/>
    <w:rsid w:val="007830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37E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1676</Words>
  <Characters>9556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Beattie</dc:creator>
  <cp:keywords/>
  <dc:description/>
  <cp:lastModifiedBy>Ryan Beattie</cp:lastModifiedBy>
  <cp:revision>2</cp:revision>
  <dcterms:created xsi:type="dcterms:W3CDTF">2025-11-19T15:19:00Z</dcterms:created>
  <dcterms:modified xsi:type="dcterms:W3CDTF">2025-11-19T15:19:00Z</dcterms:modified>
</cp:coreProperties>
</file>