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LEVEL AGREEMENT (SLA)</w:t>
      </w:r>
    </w:p>
    <w:p>
      <w:pPr>
        <w:pStyle w:val="BT"/>
      </w:pPr>
      <w:r>
        <w:t>This Service Level Agreement ("SLA") is attached to and made part of the {{parent_agreement_name}} dated {{parent_agreement_date}} between {{provider_name}} ("Service Provider") and {{customer_name}} ("Customer").</w:t>
      </w:r>
    </w:p>
    <w:p>
      <w:pPr>
        <w:pStyle w:val="Heading2"/>
      </w:pPr>
      <w:r>
        <w:t>1. SERVICES COVERED</w:t>
      </w:r>
    </w:p>
    <w:p>
      <w:pPr>
        <w:pStyle w:val="BT"/>
      </w:pPr>
      <w:r>
        <w:t>This SLA applies to the following services:</w:t>
      </w:r>
    </w:p>
    <w:p>
      <w:pPr>
        <w:pStyle w:val="ListBullet"/>
      </w:pPr>
      <w:r>
        <w:t>{{service_1}}</w:t>
      </w:r>
    </w:p>
    <w:p>
      <w:pPr>
        <w:pStyle w:val="ListBullet"/>
      </w:pPr>
      <w:r>
        <w:t>{{service_2}}</w:t>
      </w:r>
    </w:p>
    <w:p>
      <w:pPr>
        <w:pStyle w:val="ListBullet"/>
      </w:pPr>
      <w:r>
        <w:t>{{service_3}}</w:t>
      </w:r>
    </w:p>
    <w:p>
      <w:pPr>
        <w:pStyle w:val="ListBullet"/>
      </w:pPr>
      <w:r>
        <w:t>{{service_4}}</w:t>
      </w:r>
    </w:p>
    <w:p>
      <w:pPr>
        <w:pStyle w:val="Heading2"/>
      </w:pPr>
      <w:r>
        <w:t>2. SERVICE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Remedy if Breached</w:t>
            </w:r>
          </w:p>
        </w:tc>
      </w:tr>
      <w:tr>
        <w:tc>
          <w:tcPr>
            <w:tcW w:type="dxa" w:w="2493"/>
          </w:tcPr>
          <w:p>
            <w:r>
              <w:t>Service Uptime</w:t>
            </w:r>
          </w:p>
        </w:tc>
        <w:tc>
          <w:tcPr>
            <w:tcW w:type="dxa" w:w="2493"/>
          </w:tcPr>
          <w:p>
            <w:r>
              <w:t>{{uptime_target}} (e.g., 99.9% per month)</w:t>
            </w:r>
          </w:p>
        </w:tc>
        <w:tc>
          <w:tcPr>
            <w:tcW w:type="dxa" w:w="2493"/>
          </w:tcPr>
          <w:p>
            <w:r>
              <w:t>Calculated as: (Total Minutes in Month — Downtime Minutes) / Total Minutes in Month × 100</w:t>
            </w:r>
          </w:p>
        </w:tc>
        <w:tc>
          <w:tcPr>
            <w:tcW w:type="dxa" w:w="2493"/>
          </w:tcPr>
          <w:p>
            <w:r>
              <w:t>Service credit per below.</w:t>
            </w:r>
          </w:p>
        </w:tc>
      </w:tr>
      <w:tr>
        <w:tc>
          <w:tcPr>
            <w:tcW w:type="dxa" w:w="2493"/>
          </w:tcPr>
          <w:p>
            <w:r>
              <w:t>Planned Maintenance Window</w:t>
            </w:r>
          </w:p>
        </w:tc>
        <w:tc>
          <w:tcPr>
            <w:tcW w:type="dxa" w:w="2493"/>
          </w:tcPr>
          <w:p>
            <w:r>
              <w:t>{{planned_maintenance_window}} (e.g., Sundays 2:00 AM – 6:00 AM)</w:t>
            </w:r>
          </w:p>
        </w:tc>
        <w:tc>
          <w:tcPr>
            <w:tcW w:type="dxa" w:w="2493"/>
          </w:tcPr>
          <w:p>
            <w:r>
              <w:t>Scheduled in advance with {{notice_hours}} hours notice.</w:t>
            </w:r>
          </w:p>
        </w:tc>
        <w:tc>
          <w:tcPr>
            <w:tcW w:type="dxa" w:w="2493"/>
          </w:tcPr>
          <w:p>
            <w:r>
              <w:t>No penalty for scheduled maintenance within the allowed window.</w:t>
            </w:r>
          </w:p>
        </w:tc>
      </w:tr>
      <w:tr>
        <w:tc>
          <w:tcPr>
            <w:tcW w:type="dxa" w:w="2493"/>
          </w:tcPr>
          <w:p>
            <w:r>
              <w:t>Unscheduled Downtime</w:t>
            </w:r>
          </w:p>
        </w:tc>
        <w:tc>
          <w:tcPr>
            <w:tcW w:type="dxa" w:w="2493"/>
          </w:tcPr>
          <w:p>
            <w:r>
              <w:t>Must be resolved within {{resolution_target}} (e.g., 4 hours)</w:t>
            </w:r>
          </w:p>
        </w:tc>
        <w:tc>
          <w:tcPr>
            <w:tcW w:type="dxa" w:w="2493"/>
          </w:tcPr>
          <w:p>
            <w:r>
              <w:t>Measured from time incident is reported to time service is restored.</w:t>
            </w:r>
          </w:p>
        </w:tc>
        <w:tc>
          <w:tcPr>
            <w:tcW w:type="dxa" w:w="2493"/>
          </w:tcPr>
          <w:p>
            <w:r>
              <w:t>Service credit per below + root cause analysis.</w:t>
            </w:r>
          </w:p>
        </w:tc>
      </w:tr>
    </w:tbl>
    <w:p>
      <w:pPr>
        <w:pStyle w:val="Heading2"/>
      </w:pPr>
      <w:r>
        <w:t>3. PERFORMANCE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Remedy if Breached</w:t>
            </w:r>
          </w:p>
        </w:tc>
      </w:tr>
      <w:tr>
        <w:tc>
          <w:tcPr>
            <w:tcW w:type="dxa" w:w="2493"/>
          </w:tcPr>
          <w:p>
            <w:r>
              <w:t>Response Time (average)</w:t>
            </w:r>
          </w:p>
        </w:tc>
        <w:tc>
          <w:tcPr>
            <w:tcW w:type="dxa" w:w="2493"/>
          </w:tcPr>
          <w:p>
            <w:r>
              <w:t>{{response_time_target}} (e.g., &lt; 2 seconds)</w:t>
            </w:r>
          </w:p>
        </w:tc>
        <w:tc>
          <w:tcPr>
            <w:tcW w:type="dxa" w:w="2493"/>
          </w:tcPr>
          <w:p>
            <w:r>
              <w:t>Measured at the 95th percentile over each month.</w:t>
            </w:r>
          </w:p>
        </w:tc>
        <w:tc>
          <w:tcPr>
            <w:tcW w:type="dxa" w:w="2493"/>
          </w:tcPr>
          <w:p>
            <w:r>
              <w:t>Service credit per below.</w:t>
            </w:r>
          </w:p>
        </w:tc>
      </w:tr>
      <w:tr>
        <w:tc>
          <w:tcPr>
            <w:tcW w:type="dxa" w:w="2493"/>
          </w:tcPr>
          <w:p>
            <w:r>
              <w:t>Response Time (maximum)</w:t>
            </w:r>
          </w:p>
        </w:tc>
        <w:tc>
          <w:tcPr>
            <w:tcW w:type="dxa" w:w="2493"/>
          </w:tcPr>
          <w:p>
            <w:r>
              <w:t>{{max_response_time}} (e.g., &lt; 5 seconds)</w:t>
            </w:r>
          </w:p>
        </w:tc>
        <w:tc>
          <w:tcPr>
            <w:tcW w:type="dxa" w:w="2493"/>
          </w:tcPr>
          <w:p>
            <w:r>
              <w:t>Measured at the 99th percentile.</w:t>
            </w:r>
          </w:p>
        </w:tc>
        <w:tc>
          <w:tcPr>
            <w:tcW w:type="dxa" w:w="2493"/>
          </w:tcPr>
          <w:p>
            <w:r>
              <w:t>Service credit per below.</w:t>
            </w:r>
          </w:p>
        </w:tc>
      </w:tr>
      <w:tr>
        <w:tc>
          <w:tcPr>
            <w:tcW w:type="dxa" w:w="2493"/>
          </w:tcPr>
          <w:p>
            <w:r>
              <w:t>Throughput / Capacity</w:t>
            </w:r>
          </w:p>
        </w:tc>
        <w:tc>
          <w:tcPr>
            <w:tcW w:type="dxa" w:w="2493"/>
          </w:tcPr>
          <w:p>
            <w:r>
              <w:t>{{throughput_target}} (e.g., 1000 requests/second)</w:t>
            </w:r>
          </w:p>
        </w:tc>
        <w:tc>
          <w:tcPr>
            <w:tcW w:type="dxa" w:w="2493"/>
          </w:tcPr>
          <w:p>
            <w:r>
              <w:t>Measured as average over the month.</w:t>
            </w:r>
          </w:p>
        </w:tc>
        <w:tc>
          <w:tcPr>
            <w:tcW w:type="dxa" w:w="2493"/>
          </w:tcPr>
          <w:p>
            <w:r>
              <w:t>Service credit per below.</w:t>
            </w:r>
          </w:p>
        </w:tc>
      </w:tr>
      <w:tr>
        <w:tc>
          <w:tcPr>
            <w:tcW w:type="dxa" w:w="2493"/>
          </w:tcPr>
          <w:p>
            <w:r>
              <w:t>Error Rate</w:t>
            </w:r>
          </w:p>
        </w:tc>
        <w:tc>
          <w:tcPr>
            <w:tcW w:type="dxa" w:w="2493"/>
          </w:tcPr>
          <w:p>
            <w:r>
              <w:t>{{error_rate_target}} (e.g., &lt; 0.1% of requests)</w:t>
            </w:r>
          </w:p>
        </w:tc>
        <w:tc>
          <w:tcPr>
            <w:tcW w:type="dxa" w:w="2493"/>
          </w:tcPr>
          <w:p>
            <w:r>
              <w:t>Measured as percentage of failed requests.</w:t>
            </w:r>
          </w:p>
        </w:tc>
        <w:tc>
          <w:tcPr>
            <w:tcW w:type="dxa" w:w="2493"/>
          </w:tcPr>
          <w:p>
            <w:r>
              <w:t>Service credit per below.</w:t>
            </w:r>
          </w:p>
        </w:tc>
      </w:tr>
      <w:tr>
        <w:tc>
          <w:tcPr>
            <w:tcW w:type="dxa" w:w="2493"/>
          </w:tcPr>
          <w:p>
            <w:r>
              <w:t>First Response Time (support)</w:t>
            </w:r>
          </w:p>
        </w:tc>
        <w:tc>
          <w:tcPr>
            <w:tcW w:type="dxa" w:w="2493"/>
          </w:tcPr>
          <w:p>
            <w:r>
              <w:t>{{support_response_time}} (e.g., within 1 business hour)</w:t>
            </w:r>
          </w:p>
        </w:tc>
        <w:tc>
          <w:tcPr>
            <w:tcW w:type="dxa" w:w="2493"/>
          </w:tcPr>
          <w:p>
            <w:r>
              <w:t>Measured from ticket creation to first response.</w:t>
            </w:r>
          </w:p>
        </w:tc>
        <w:tc>
          <w:tcPr>
            <w:tcW w:type="dxa" w:w="2493"/>
          </w:tcPr>
          <w:p>
            <w:r>
              <w:t>Service credit per below.</w:t>
            </w:r>
          </w:p>
        </w:tc>
      </w:tr>
      <w:tr>
        <w:tc>
          <w:tcPr>
            <w:tcW w:type="dxa" w:w="2493"/>
          </w:tcPr>
          <w:p>
            <w:r>
              <w:t>Resolution Time (support)</w:t>
            </w:r>
          </w:p>
        </w:tc>
        <w:tc>
          <w:tcPr>
            <w:tcW w:type="dxa" w:w="2493"/>
          </w:tcPr>
          <w:p>
            <w:r>
              <w:t>{{support_resolution_time}} (e.g., within 24 hours for P1 issues)</w:t>
            </w:r>
          </w:p>
        </w:tc>
        <w:tc>
          <w:tcPr>
            <w:tcW w:type="dxa" w:w="2493"/>
          </w:tcPr>
          <w:p>
            <w:r>
              <w:t>Measured from ticket creation to resolution.</w:t>
            </w:r>
          </w:p>
        </w:tc>
        <w:tc>
          <w:tcPr>
            <w:tcW w:type="dxa" w:w="2493"/>
          </w:tcPr>
          <w:p>
            <w:r>
              <w:t>Service credit per below.</w:t>
            </w:r>
          </w:p>
        </w:tc>
      </w:tr>
    </w:tbl>
    <w:p>
      <w:pPr>
        <w:pStyle w:val="Heading2"/>
      </w:pPr>
      <w:r>
        <w:t>4. SUPPORT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Resolution Target</w:t>
            </w:r>
          </w:p>
        </w:tc>
      </w:tr>
      <w:tr>
        <w:tc>
          <w:tcPr>
            <w:tcW w:type="dxa" w:w="2493"/>
          </w:tcPr>
          <w:p>
            <w:r>
              <w:t>P1 — Critical</w:t>
            </w:r>
          </w:p>
        </w:tc>
        <w:tc>
          <w:tcPr>
            <w:tcW w:type="dxa" w:w="2493"/>
          </w:tcPr>
          <w:p>
            <w:r>
              <w:t>Service is unavailable or severely degraded. Customer operations are blocked.</w:t>
            </w:r>
          </w:p>
        </w:tc>
        <w:tc>
          <w:tcPr>
            <w:tcW w:type="dxa" w:w="2493"/>
          </w:tcPr>
          <w:p>
            <w:r>
              <w:t>{{p1_response_time}}</w:t>
            </w:r>
          </w:p>
        </w:tc>
        <w:tc>
          <w:tcPr>
            <w:tcW w:type="dxa" w:w="2493"/>
          </w:tcPr>
          <w:p>
            <w:r>
              <w:t>{{p1_resolution_time}}</w:t>
            </w:r>
          </w:p>
        </w:tc>
      </w:tr>
      <w:tr>
        <w:tc>
          <w:tcPr>
            <w:tcW w:type="dxa" w:w="2493"/>
          </w:tcPr>
          <w:p>
            <w:r>
              <w:t>P2 — High</w:t>
            </w:r>
          </w:p>
        </w:tc>
        <w:tc>
          <w:tcPr>
            <w:tcW w:type="dxa" w:w="2493"/>
          </w:tcPr>
          <w:p>
            <w:r>
              <w:t>Service is degraded but functional. Significant impact on customer.</w:t>
            </w:r>
          </w:p>
        </w:tc>
        <w:tc>
          <w:tcPr>
            <w:tcW w:type="dxa" w:w="2493"/>
          </w:tcPr>
          <w:p>
            <w:r>
              <w:t>{{p2_response_time}}</w:t>
            </w:r>
          </w:p>
        </w:tc>
        <w:tc>
          <w:tcPr>
            <w:tcW w:type="dxa" w:w="2493"/>
          </w:tcPr>
          <w:p>
            <w:r>
              <w:t>{{p2_resolution_time}}</w:t>
            </w:r>
          </w:p>
        </w:tc>
      </w:tr>
      <w:tr>
        <w:tc>
          <w:tcPr>
            <w:tcW w:type="dxa" w:w="2493"/>
          </w:tcPr>
          <w:p>
            <w:r>
              <w:t>P3 — Medium</w:t>
            </w:r>
          </w:p>
        </w:tc>
        <w:tc>
          <w:tcPr>
            <w:tcW w:type="dxa" w:w="2493"/>
          </w:tcPr>
          <w:p>
            <w:r>
              <w:t>Minor issue. Workaround exists. Limited impact.</w:t>
            </w:r>
          </w:p>
        </w:tc>
        <w:tc>
          <w:tcPr>
            <w:tcW w:type="dxa" w:w="2493"/>
          </w:tcPr>
          <w:p>
            <w:r>
              <w:t>{{p3_response_time}}</w:t>
            </w:r>
          </w:p>
        </w:tc>
        <w:tc>
          <w:tcPr>
            <w:tcW w:type="dxa" w:w="2493"/>
          </w:tcPr>
          <w:p>
            <w:r>
              <w:t>{{p3_resolution_time}}</w:t>
            </w:r>
          </w:p>
        </w:tc>
      </w:tr>
      <w:tr>
        <w:tc>
          <w:tcPr>
            <w:tcW w:type="dxa" w:w="2493"/>
          </w:tcPr>
          <w:p>
            <w:r>
              <w:t>P4 — Low</w:t>
            </w:r>
          </w:p>
        </w:tc>
        <w:tc>
          <w:tcPr>
            <w:tcW w:type="dxa" w:w="2493"/>
          </w:tcPr>
          <w:p>
            <w:r>
              <w:t>Cosmetic issue, minor inconvenience, or feature request.</w:t>
            </w:r>
          </w:p>
        </w:tc>
        <w:tc>
          <w:tcPr>
            <w:tcW w:type="dxa" w:w="2493"/>
          </w:tcPr>
          <w:p>
            <w:r>
              <w:t>{{p4_response_time}}</w:t>
            </w:r>
          </w:p>
        </w:tc>
        <w:tc>
          <w:tcPr>
            <w:tcW w:type="dxa" w:w="2493"/>
          </w:tcPr>
          <w:p>
            <w:r>
              <w:t>{{p4_resolution_time}}</w:t>
            </w:r>
          </w:p>
        </w:tc>
      </w:tr>
    </w:tbl>
    <w:p>
      <w:pPr>
        <w:pStyle w:val="Heading2"/>
      </w:pPr>
      <w:r>
        <w:t>5. MONITORING AND REPORTING</w:t>
      </w:r>
    </w:p>
    <w:p>
      <w:pPr>
        <w:pStyle w:val="ListBullet"/>
      </w:pPr>
      <w:r>
        <w:t>Service Provider will monitor service availability and performance continuously using {{monitoring_tool}}.</w:t>
      </w:r>
    </w:p>
    <w:p>
      <w:pPr>
        <w:pStyle w:val="ListBullet"/>
      </w:pPr>
      <w:r>
        <w:t>Service Provider will provide Customer with a monthly service report including: uptime percentage, performance metrics, incidents, and service credits earned.</w:t>
      </w:r>
    </w:p>
    <w:p>
      <w:pPr>
        <w:pStyle w:val="ListBullet"/>
      </w:pPr>
      <w:r>
        <w:t>Customer may request a copy of the monitoring data at any time.</w:t>
      </w:r>
    </w:p>
    <w:p>
      <w:pPr>
        <w:pStyle w:val="ListBullet"/>
      </w:pPr>
      <w:r>
        <w:t>Service Provider will conduct a quarterly service review meeting with Customer to review performance and discuss improvements.</w:t>
      </w:r>
    </w:p>
    <w:p>
      <w:pPr>
        <w:pStyle w:val="Heading2"/>
      </w:pPr>
      <w:r>
        <w:t>6. SERVICE CREDITS</w:t>
      </w:r>
    </w:p>
    <w:p>
      <w:pPr>
        <w:pStyle w:val="BT"/>
      </w:pPr>
      <w:r>
        <w:t>If Service Provider fails to meet the service levels defined above, Customer is entitled to the following service credits, applied to the next invoice: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Service Level Breached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Credit (% of monthly service fee)</w:t>
            </w:r>
          </w:p>
        </w:tc>
      </w:tr>
      <w:tr>
        <w:tc>
          <w:tcPr>
            <w:tcW w:type="dxa" w:w="4986"/>
          </w:tcPr>
          <w:p>
            <w:r>
              <w:t>Uptime below {{uptime_target}} but above {{uptime_threshold_2}}</w:t>
            </w:r>
          </w:p>
        </w:tc>
        <w:tc>
          <w:tcPr>
            <w:tcW w:type="dxa" w:w="4986"/>
          </w:tcPr>
          <w:p>
            <w:r>
              <w:t>{{credit_tier_1}}%</w:t>
            </w:r>
          </w:p>
        </w:tc>
      </w:tr>
      <w:tr>
        <w:tc>
          <w:tcPr>
            <w:tcW w:type="dxa" w:w="4986"/>
          </w:tcPr>
          <w:p>
            <w:r>
              <w:t>Uptime below {{uptime_threshold_2}} but above {{uptime_threshold_3}}</w:t>
            </w:r>
          </w:p>
        </w:tc>
        <w:tc>
          <w:tcPr>
            <w:tcW w:type="dxa" w:w="4986"/>
          </w:tcPr>
          <w:p>
            <w:r>
              <w:t>{{credit_tier_2}}%</w:t>
            </w:r>
          </w:p>
        </w:tc>
      </w:tr>
      <w:tr>
        <w:tc>
          <w:tcPr>
            <w:tcW w:type="dxa" w:w="4986"/>
          </w:tcPr>
          <w:p>
            <w:r>
              <w:t>Uptime below {{uptime_threshold_3}}</w:t>
            </w:r>
          </w:p>
        </w:tc>
        <w:tc>
          <w:tcPr>
            <w:tcW w:type="dxa" w:w="4986"/>
          </w:tcPr>
          <w:p>
            <w:r>
              <w:t>{{credit_tier_3}}%</w:t>
            </w:r>
          </w:p>
        </w:tc>
      </w:tr>
      <w:tr>
        <w:tc>
          <w:tcPr>
            <w:tcW w:type="dxa" w:w="4986"/>
          </w:tcPr>
          <w:p>
            <w:r>
              <w:t>Response time target missed (per incident)</w:t>
            </w:r>
          </w:p>
        </w:tc>
        <w:tc>
          <w:tcPr>
            <w:tcW w:type="dxa" w:w="4986"/>
          </w:tcPr>
          <w:p>
            <w:r>
              <w:t>{{response_credit}} per incident</w:t>
            </w:r>
          </w:p>
        </w:tc>
      </w:tr>
      <w:tr>
        <w:tc>
          <w:tcPr>
            <w:tcW w:type="dxa" w:w="4986"/>
          </w:tcPr>
          <w:p>
            <w:r>
              <w:t>P1 support ticket not responded to within target</w:t>
            </w:r>
          </w:p>
        </w:tc>
        <w:tc>
          <w:tcPr>
            <w:tcW w:type="dxa" w:w="4986"/>
          </w:tcPr>
          <w:p>
            <w:r>
              <w:t>{{p1_missed_credit}} per incident</w:t>
            </w:r>
          </w:p>
        </w:tc>
      </w:tr>
      <w:tr>
        <w:tc>
          <w:tcPr>
            <w:tcW w:type="dxa" w:w="4986"/>
          </w:tcPr>
          <w:p>
            <w:r>
              <w:t>P2 support ticket not resolved within target</w:t>
            </w:r>
          </w:p>
        </w:tc>
        <w:tc>
          <w:tcPr>
            <w:tcW w:type="dxa" w:w="4986"/>
          </w:tcPr>
          <w:p>
            <w:r>
              <w:t>{{p2_missed_credit}} per incident</w:t>
            </w:r>
          </w:p>
        </w:tc>
      </w:tr>
    </w:tbl>
    <w:p>
      <w:pPr>
        <w:pStyle w:val="BT"/>
      </w:pPr>
      <w:r>
        <w:t>To request a service credit, Customer must submit a written request within {{credit_request_window}} days of the end of the month in which the breach occurred. Service Provider will review and apply or deny the credit within {{credit_response_time}} days.</w:t>
      </w:r>
    </w:p>
    <w:p>
      <w:pPr>
        <w:pStyle w:val="BT"/>
      </w:pPr>
      <w:r>
        <w:t>Total service credits in any month shall not exceed {{max_credit_cap}} of the monthly service fee. Service credits are the sole and exclusive remedy for service level breaches.</w:t>
      </w:r>
    </w:p>
    <w:p>
      <w:pPr>
        <w:pStyle w:val="Heading2"/>
      </w:pPr>
      <w:r>
        <w:t>7. FORCE MAJEURE</w:t>
      </w:r>
    </w:p>
    <w:p>
      <w:pPr>
        <w:pStyle w:val="BT"/>
      </w:pPr>
      <w:r>
        <w:t>Service Provider is not liable for any failure to meet service levels caused by events beyond its reasonable control, including: natural disasters, acts of God, war, terrorism, riots, government orders, internet or telecommunications outages, attacks by third parties (including hackers and DDoS attacks), or failures of third-party services. Service Provider will use commercially reasonable efforts to restore service as quickly as possible.</w:t>
      </w:r>
    </w:p>
    <w:p>
      <w:pPr>
        <w:pStyle w:val="Heading2"/>
      </w:pPr>
      <w:r>
        <w:t>8. CUSTOMER OBLIGATIONS</w:t>
      </w:r>
    </w:p>
    <w:p>
      <w:pPr>
        <w:pStyle w:val="ListBullet"/>
      </w:pPr>
      <w:r>
        <w:t>Customer will provide accurate and complete information needed for the services.</w:t>
      </w:r>
    </w:p>
    <w:p>
      <w:pPr>
        <w:pStyle w:val="ListBullet"/>
      </w:pPr>
      <w:r>
        <w:t>Customer will use the services in accordance with the documentation and acceptable use policy.</w:t>
      </w:r>
    </w:p>
    <w:p>
      <w:pPr>
        <w:pStyle w:val="ListBullet"/>
      </w:pPr>
      <w:r>
        <w:t>Customer will report issues promptly and provide necessary information for troubleshooting.</w:t>
      </w:r>
    </w:p>
    <w:p>
      <w:pPr>
        <w:pStyle w:val="ListBullet"/>
      </w:pPr>
      <w:r>
        <w:t>Customer will not engage in activities that degrade service performance or compromise security.</w:t>
      </w:r>
    </w:p>
    <w:p>
      <w:pPr>
        <w:pStyle w:val="ListBullet"/>
      </w:pPr>
      <w:r>
        <w:t>{{customer_obligations_extra}}</w:t>
      </w:r>
    </w:p>
    <w:p>
      <w:pPr>
        <w:pStyle w:val="Heading2"/>
      </w:pPr>
      <w:r>
        <w:t>9. CHANGE MANAGEMENT</w:t>
      </w:r>
    </w:p>
    <w:p>
      <w:pPr>
        <w:pStyle w:val="BT"/>
      </w:pPr>
      <w:r>
        <w:t>Service Provider will notify Customer of any planned changes to the services that may affect service levels at least {{change_notification}} in advance. Emergency changes required for security or critical bug fixes may be made with shorter notice.</w:t>
      </w:r>
    </w:p>
    <w:p>
      <w:pPr>
        <w:pStyle w:val="Heading2"/>
      </w:pPr>
      <w:r>
        <w:t>10. TERM AND TERMINATION</w:t>
      </w:r>
    </w:p>
    <w:p>
      <w:pPr>
        <w:pStyle w:val="BT"/>
      </w:pPr>
      <w:r>
        <w:t>This SLA remains in effect for the duration of the parent agreement. Either Party may terminate this SLA with {{sla_termination_notice}} days notice if the other Party materially breaches the SLA and fails to cure within {{sla_cure_period}} days.</w:t>
      </w:r>
    </w:p>
    <w:p>
      <w:pPr>
        <w:pStyle w:val="Heading2"/>
      </w:pPr>
      <w:r>
        <w:t>11. GOVERNING LAW</w:t>
      </w:r>
    </w:p>
    <w:p>
      <w:pPr>
        <w:pStyle w:val="BT"/>
      </w:pPr>
      <w:r>
        <w:t>This SLA is governed by the laws of {{governing_state}}.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Service Provider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Customer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{{provider_name}}</w:t>
            </w:r>
          </w:p>
        </w:tc>
        <w:tc>
          <w:tcPr>
            <w:tcW w:type="dxa" w:w="3324"/>
          </w:tcPr>
          <w:p>
            <w:r>
              <w:t>{{customer_name}}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{{provider_date}}</w:t>
            </w:r>
          </w:p>
        </w:tc>
        <w:tc>
          <w:tcPr>
            <w:tcW w:type="dxa" w:w="3324"/>
          </w:tcPr>
          <w:p>
            <w:r>
              <w:t>{{customer_date}}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SERVICE LEVEL AGREEMENT (SLA)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