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eastAsia="Arial"/>
          <w:b/>
          <w:color w:val="1F3864"/>
          <w:sz w:val="44"/>
        </w:rPr>
        <w:t>Ryan Bryant</w:t>
      </w:r>
    </w:p>
    <w:p>
      <w:pPr>
        <w:spacing w:before="0" w:after="24" w:line="240" w:lineRule="auto"/>
      </w:pPr>
      <w:r>
        <w:rPr>
          <w:rFonts w:ascii="Arial" w:hAnsi="Arial" w:eastAsia="Arial"/>
          <w:sz w:val="17"/>
        </w:rPr>
        <w:t>Marquette, MI | 906-361-1838 | ryanbryant.cyber@gmail.com | linkedin.com/in/ryqn-bryant-a35754305 | ryanbryant-cyber.github.io</w:t>
      </w:r>
    </w:p>
    <w:p>
      <w:pPr>
        <w:keepNext/>
        <w:spacing w:before="80" w:after="24" w:line="240" w:lineRule="auto"/>
        <w:pBdr>
          <w:bottom w:val="single" w:sz="5" w:space="1" w:color="777777"/>
        </w:pBdr>
      </w:pPr>
      <w:r>
        <w:rPr>
          <w:rFonts w:ascii="Arial" w:hAnsi="Arial" w:eastAsia="Arial"/>
          <w:b/>
          <w:sz w:val="21"/>
        </w:rPr>
        <w:t>Professional Summary</w:t>
      </w:r>
    </w:p>
    <w:p>
      <w:pPr>
        <w:spacing w:before="0" w:after="24" w:line="240" w:lineRule="auto"/>
      </w:pPr>
      <w:r>
        <w:rPr>
          <w:rFonts w:ascii="Arial" w:hAnsi="Arial" w:eastAsia="Arial"/>
          <w:sz w:val="18"/>
        </w:rPr>
        <w:t>Cybersecurity bachelor's student targeting Cybersecurity Analyst and SOC Analyst roles, with hands-on experience across security operations, governance and risk, endpoint hunting, and security automation. Built and operated an isolated Wazuh lab, developed Python and osquery workflows, engineered reversible active response, and produced stakeholder-focused risk and incident documentation. Strong foundation in Linux, SIEM analysis, NIST CSF 2.0, MITRE ATT&amp;CK, and evidence-based reporting.</w:t>
      </w:r>
    </w:p>
    <w:p>
      <w:pPr>
        <w:keepNext/>
        <w:spacing w:before="80" w:after="24" w:line="240" w:lineRule="auto"/>
        <w:pBdr>
          <w:bottom w:val="single" w:sz="5" w:space="1" w:color="777777"/>
        </w:pBdr>
      </w:pPr>
      <w:r>
        <w:rPr>
          <w:rFonts w:ascii="Arial" w:hAnsi="Arial" w:eastAsia="Arial"/>
          <w:b/>
          <w:sz w:val="21"/>
        </w:rPr>
        <w:t>Technical Skills</w:t>
      </w:r>
    </w:p>
    <w:p>
      <w:pPr>
        <w:spacing w:before="0" w:after="4" w:line="240" w:lineRule="auto"/>
      </w:pPr>
      <w:r>
        <w:rPr>
          <w:rFonts w:ascii="Arial" w:hAnsi="Arial" w:eastAsia="Arial"/>
          <w:b/>
          <w:sz w:val="17"/>
        </w:rPr>
        <w:t xml:space="preserve">Security Operations: </w:t>
      </w:r>
      <w:r>
        <w:rPr>
          <w:rFonts w:ascii="Arial" w:hAnsi="Arial" w:eastAsia="Arial"/>
          <w:sz w:val="17"/>
        </w:rPr>
        <w:t>Wazuh SIEM/XDR | Suricata | Alert Triage | Log Analysis | MITRE ATT&amp;CK | Incident Response</w:t>
      </w:r>
    </w:p>
    <w:p>
      <w:pPr>
        <w:spacing w:before="0" w:after="4" w:line="240" w:lineRule="auto"/>
      </w:pPr>
      <w:r>
        <w:rPr>
          <w:rFonts w:ascii="Arial" w:hAnsi="Arial" w:eastAsia="Arial"/>
          <w:b/>
          <w:sz w:val="17"/>
        </w:rPr>
        <w:t xml:space="preserve">Endpoint &amp; Network: </w:t>
      </w:r>
      <w:r>
        <w:rPr>
          <w:rFonts w:ascii="Arial" w:hAnsi="Arial" w:eastAsia="Arial"/>
          <w:sz w:val="17"/>
        </w:rPr>
        <w:t>osquery | Linux | Apache | UFW/iptables | Wireshark | Nmap | rsyslog | VirtualBox</w:t>
      </w:r>
    </w:p>
    <w:p>
      <w:pPr>
        <w:spacing w:before="0" w:after="4" w:line="240" w:lineRule="auto"/>
      </w:pPr>
      <w:r>
        <w:rPr>
          <w:rFonts w:ascii="Arial" w:hAnsi="Arial" w:eastAsia="Arial"/>
          <w:b/>
          <w:sz w:val="17"/>
        </w:rPr>
        <w:t xml:space="preserve">Automation &amp; Data: </w:t>
      </w:r>
      <w:r>
        <w:rPr>
          <w:rFonts w:ascii="Arial" w:hAnsi="Arial" w:eastAsia="Arial"/>
          <w:sz w:val="17"/>
        </w:rPr>
        <w:t>Python | JSON/JSONL | SQL | Alert Correlation | Data Normalization | SHA-256 Evidence Integrity</w:t>
      </w:r>
    </w:p>
    <w:p>
      <w:pPr>
        <w:spacing w:before="0" w:after="4" w:line="240" w:lineRule="auto"/>
      </w:pPr>
      <w:r>
        <w:rPr>
          <w:rFonts w:ascii="Arial" w:hAnsi="Arial" w:eastAsia="Arial"/>
          <w:b/>
          <w:sz w:val="17"/>
        </w:rPr>
        <w:t xml:space="preserve">Risk &amp; Governance: </w:t>
      </w:r>
      <w:r>
        <w:rPr>
          <w:rFonts w:ascii="Arial" w:hAnsi="Arial" w:eastAsia="Arial"/>
          <w:sz w:val="17"/>
        </w:rPr>
        <w:t>NIST CSF 2.0 | GRC | Risk Assessment | Risk Registers | IAM | Third-Party Risk | Data Classification</w:t>
      </w:r>
    </w:p>
    <w:p>
      <w:pPr>
        <w:keepNext/>
        <w:spacing w:before="80" w:after="24" w:line="240" w:lineRule="auto"/>
        <w:pBdr>
          <w:bottom w:val="single" w:sz="5" w:space="1" w:color="777777"/>
        </w:pBdr>
      </w:pPr>
      <w:r>
        <w:rPr>
          <w:rFonts w:ascii="Arial" w:hAnsi="Arial" w:eastAsia="Arial"/>
          <w:b/>
          <w:sz w:val="21"/>
        </w:rPr>
        <w:t>Education &amp; Credentials</w:t>
      </w:r>
    </w:p>
    <w:p>
      <w:pPr>
        <w:spacing w:before="0" w:after="5" w:line="240" w:lineRule="auto"/>
      </w:pPr>
      <w:r>
        <w:rPr>
          <w:rFonts w:ascii="Arial" w:hAnsi="Arial" w:eastAsia="Arial"/>
          <w:i/>
          <w:sz w:val="18"/>
        </w:rPr>
        <w:t>University of Phoenix, Phoenix, Arizona</w:t>
      </w:r>
    </w:p>
    <w:p>
      <w:pPr>
        <w:spacing w:before="0" w:after="4" w:line="240" w:lineRule="auto"/>
      </w:pPr>
      <w:r>
        <w:rPr>
          <w:rFonts w:ascii="Arial" w:hAnsi="Arial" w:eastAsia="Arial"/>
          <w:b/>
          <w:sz w:val="18"/>
        </w:rPr>
        <w:t>Bachelor of Science in Cybersecurity | Expected May 2028</w:t>
      </w:r>
    </w:p>
    <w:p>
      <w:pPr>
        <w:spacing w:before="0" w:after="4" w:line="240" w:lineRule="auto"/>
      </w:pPr>
      <w:r>
        <w:rPr>
          <w:rFonts w:ascii="Arial" w:hAnsi="Arial" w:eastAsia="Arial"/>
          <w:i/>
          <w:sz w:val="17"/>
        </w:rPr>
        <w:t>Academic Honors: President's List (1) | Dean's List (2) | Honor Societies: NSLS | Epsilon Pi Tau (Delta Sigma Chapter)</w:t>
      </w:r>
    </w:p>
    <w:p>
      <w:pPr>
        <w:spacing w:before="0" w:after="4" w:line="240" w:lineRule="auto"/>
      </w:pPr>
      <w:r>
        <w:rPr>
          <w:rFonts w:ascii="Arial" w:hAnsi="Arial" w:eastAsia="Arial"/>
          <w:b/>
          <w:sz w:val="17"/>
        </w:rPr>
        <w:t xml:space="preserve">Credentials: </w:t>
      </w:r>
      <w:r>
        <w:rPr>
          <w:rFonts w:ascii="Arial" w:hAnsi="Arial" w:eastAsia="Arial"/>
          <w:sz w:val="17"/>
        </w:rPr>
        <w:t>Cloud, Wireless, &amp; Threat Response Tactics (Apr 2026) | Endpoint &amp; Data Protection Strategies (Mar 2026) | Google Data Analytics Professional Certificate (Apr 2025)</w:t>
      </w:r>
    </w:p>
    <w:p>
      <w:pPr>
        <w:keepNext/>
        <w:spacing w:before="80" w:after="24" w:line="240" w:lineRule="auto"/>
        <w:pBdr>
          <w:bottom w:val="single" w:sz="5" w:space="1" w:color="777777"/>
        </w:pBdr>
      </w:pPr>
      <w:r>
        <w:rPr>
          <w:rFonts w:ascii="Arial" w:hAnsi="Arial" w:eastAsia="Arial"/>
          <w:b/>
          <w:sz w:val="21"/>
        </w:rPr>
        <w:t>Selected Cybersecurity Projects</w:t>
      </w:r>
    </w:p>
    <w:p>
      <w:pPr>
        <w:keepNext/>
        <w:spacing w:before="32" w:after="6" w:line="240" w:lineRule="auto"/>
      </w:pPr>
      <w:r>
        <w:rPr>
          <w:rFonts w:ascii="Arial" w:hAnsi="Arial" w:eastAsia="Arial"/>
          <w:b/>
          <w:sz w:val="18"/>
        </w:rPr>
        <w:t>Cybersecurity Risk &amp; Governance Assessment - Northstar Financial Group | 2026</w:t>
      </w:r>
    </w:p>
    <w:p>
      <w:pPr>
        <w:pStyle w:val="ListBullet"/>
        <w:spacing w:before="0" w:after="18" w:line="240" w:lineRule="auto"/>
        <w:ind w:left="317" w:hanging="202"/>
      </w:pPr>
      <w:r>
        <w:rPr>
          <w:rFonts w:ascii="Arial" w:hAnsi="Arial" w:eastAsia="Arial"/>
          <w:sz w:val="18"/>
        </w:rPr>
        <w:t>Conducted a fictional financial-services risk assessment aligned to NIST CSF 2.0; evaluated asset criticality and stakeholder evidence, produced an 11-finding risk register, and prioritized remediation across IAM, backup resilience, third-party risk, incident response, data protection, patching, and logging.</w:t>
      </w:r>
    </w:p>
    <w:p>
      <w:pPr>
        <w:keepNext/>
        <w:spacing w:before="32" w:after="6" w:line="240" w:lineRule="auto"/>
      </w:pPr>
      <w:r>
        <w:rPr>
          <w:rFonts w:ascii="Arial" w:hAnsi="Arial" w:eastAsia="Arial"/>
          <w:b/>
          <w:sz w:val="18"/>
        </w:rPr>
        <w:t>Python Alert Triage &amp; Correlation Automation | 2026</w:t>
      </w:r>
    </w:p>
    <w:p>
      <w:pPr>
        <w:pStyle w:val="ListBullet"/>
        <w:spacing w:before="0" w:after="18" w:line="240" w:lineRule="auto"/>
        <w:ind w:left="317" w:hanging="202"/>
      </w:pPr>
      <w:r>
        <w:rPr>
          <w:rFonts w:ascii="Arial" w:hAnsi="Arial" w:eastAsia="Arial"/>
          <w:sz w:val="18"/>
        </w:rPr>
        <w:t>Developed a Python alert-triage pipeline that normalized 42 Suricata/Wazuh records into 21 unique events with 21 verified mirrors, zero parser errors, six analyst outputs, and complete SHA-256 integrity checks.</w:t>
      </w:r>
    </w:p>
    <w:p>
      <w:pPr>
        <w:keepNext/>
        <w:spacing w:before="32" w:after="6" w:line="240" w:lineRule="auto"/>
      </w:pPr>
      <w:r>
        <w:rPr>
          <w:rFonts w:ascii="Arial" w:hAnsi="Arial" w:eastAsia="Arial"/>
          <w:b/>
          <w:sz w:val="18"/>
        </w:rPr>
        <w:t>osquery Endpoint Hunting | 2026</w:t>
      </w:r>
    </w:p>
    <w:p>
      <w:pPr>
        <w:pStyle w:val="ListBullet"/>
        <w:spacing w:before="0" w:after="18" w:line="240" w:lineRule="auto"/>
        <w:ind w:left="317" w:hanging="202"/>
      </w:pPr>
      <w:r>
        <w:rPr>
          <w:rFonts w:ascii="Arial" w:hAnsi="Arial" w:eastAsia="Arial"/>
          <w:sz w:val="18"/>
        </w:rPr>
        <w:t>Built an osquery endpoint-hunting pack across seven security domains and validated it by detecting, attributing, independently confirming, removing, and rechecking a controlled localhost listener.</w:t>
      </w:r>
    </w:p>
    <w:p>
      <w:pPr>
        <w:keepNext/>
        <w:spacing w:before="32" w:after="6" w:line="240" w:lineRule="auto"/>
      </w:pPr>
      <w:r>
        <w:rPr>
          <w:rFonts w:ascii="Arial" w:hAnsi="Arial" w:eastAsia="Arial"/>
          <w:b/>
          <w:sz w:val="18"/>
        </w:rPr>
        <w:t>Wazuh Active Response - Automated Containment | 2026</w:t>
      </w:r>
    </w:p>
    <w:p>
      <w:pPr>
        <w:pStyle w:val="ListBullet"/>
        <w:spacing w:before="0" w:after="18" w:line="240" w:lineRule="auto"/>
        <w:ind w:left="317" w:hanging="202"/>
      </w:pPr>
      <w:r>
        <w:rPr>
          <w:rFonts w:ascii="Arial" w:hAnsi="Arial" w:eastAsia="Arial"/>
          <w:sz w:val="18"/>
        </w:rPr>
        <w:t>Engineered a guarded Wazuh Active Response workflow that converted custom rule 100120 into a source-specific iptables block, verified 120-second automated rollback, and preserved 18 SHA-256-validated evidence artifacts.</w:t>
      </w:r>
    </w:p>
    <w:p>
      <w:pPr>
        <w:keepNext/>
        <w:spacing w:before="80" w:after="24" w:line="240" w:lineRule="auto"/>
        <w:pBdr>
          <w:bottom w:val="single" w:sz="5" w:space="1" w:color="777777"/>
        </w:pBdr>
      </w:pPr>
      <w:r>
        <w:rPr>
          <w:rFonts w:ascii="Arial" w:hAnsi="Arial" w:eastAsia="Arial"/>
          <w:b/>
          <w:sz w:val="21"/>
        </w:rPr>
        <w:t>Leadership &amp; Military Experience</w:t>
      </w:r>
    </w:p>
    <w:p>
      <w:pPr>
        <w:keepNext/>
        <w:spacing w:before="0" w:after="5" w:line="240" w:lineRule="auto"/>
      </w:pPr>
      <w:r>
        <w:rPr>
          <w:rFonts w:ascii="Arial" w:hAnsi="Arial" w:eastAsia="Arial"/>
          <w:b/>
          <w:sz w:val="18"/>
        </w:rPr>
        <w:t>U.S. Army | 2013-2020</w:t>
      </w:r>
    </w:p>
    <w:p>
      <w:pPr>
        <w:pStyle w:val="ListBullet"/>
        <w:spacing w:before="0" w:after="12" w:line="240" w:lineRule="auto"/>
        <w:ind w:left="317" w:hanging="202"/>
      </w:pPr>
      <w:r>
        <w:rPr>
          <w:rFonts w:ascii="Arial" w:hAnsi="Arial" w:eastAsia="Arial"/>
          <w:sz w:val="18"/>
        </w:rPr>
        <w:t>Held leadership positions across three units and was selected to manage a division-level armory, reinforcing accountability, asset control, procedural compliance, and team coordination.</w:t>
      </w:r>
    </w:p>
    <w:p>
      <w:pPr>
        <w:pStyle w:val="ListBullet"/>
        <w:spacing w:before="0" w:after="12" w:line="240" w:lineRule="auto"/>
        <w:ind w:left="317" w:hanging="202"/>
      </w:pPr>
      <w:r>
        <w:rPr>
          <w:rFonts w:ascii="Arial" w:hAnsi="Arial" w:eastAsia="Arial"/>
          <w:sz w:val="18"/>
        </w:rPr>
        <w:t>Received multiple Army Achievement Medals (AAMs) and Certificates of Achievement (COAs) for performance and service.</w:t>
      </w:r>
    </w:p>
    <w:p>
      <w:pPr>
        <w:keepNext/>
        <w:spacing w:before="80" w:after="24" w:line="240" w:lineRule="auto"/>
        <w:pBdr>
          <w:bottom w:val="single" w:sz="5" w:space="1" w:color="777777"/>
        </w:pBdr>
      </w:pPr>
      <w:r>
        <w:rPr>
          <w:rFonts w:ascii="Arial" w:hAnsi="Arial" w:eastAsia="Arial"/>
          <w:b/>
          <w:sz w:val="21"/>
        </w:rPr>
        <w:t>Portfolio</w:t>
      </w:r>
    </w:p>
    <w:p>
      <w:pPr>
        <w:spacing w:before="0" w:after="0" w:line="240" w:lineRule="auto"/>
      </w:pPr>
      <w:r>
        <w:rPr>
          <w:rFonts w:ascii="Arial" w:hAnsi="Arial" w:eastAsia="Arial"/>
          <w:sz w:val="17"/>
        </w:rPr>
        <w:t>ryanbryant-cyber.github.io - 14 documented cybersecurity investigations and assessments spanning SOC operations, GRC/risk, vulnerability analysis, endpoint hunting, automation, traffic analysis, and stakeholder reporting.</w:t>
      </w:r>
    </w:p>
    <w:sectPr w:rsidR="00FC693F" w:rsidRPr="0006063C" w:rsidSect="00034616">
      <w:pgSz w:w="12240" w:h="15840"/>
      <w:pgMar w:top="576" w:right="691" w:bottom="547"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