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Your question to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is the callback queue in JavaScript, and how does it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Answer to the question you are asking: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is a closure, and why would you use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ab/>
        <w:t xml:space="preserve">In Javascript, a closure is a function that captures free variables.  This means that a function has access to variables that were defined in an enclosing scope, but are not accessible to anyone using the function.  In effect, the closure function remembers values that were in scope when it was originally defined.   This effectively allows us to create private state for a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Let’s consider an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function counter()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let count = 1;</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return () =&gt; count++;</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Georgia" w:cs="Georgia" w:eastAsia="Georgia" w:hAnsi="Georgia"/>
          <w:rtl w:val="0"/>
        </w:rPr>
        <w:t xml:space="preserve">When we call this counter function, it will return a function object that when invoked will increase the count by one.  The user of the returned function will be able to increase the counter, but never reset its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