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2E74B5"/>
          <w:sz w:val="56"/>
        </w:rPr>
        <w:t>Credit Risk Analytics</w:t>
      </w:r>
    </w:p>
    <w:p>
      <w:pPr>
        <w:jc w:val="center"/>
      </w:pPr>
      <w:r>
        <w:rPr>
          <w:rFonts w:ascii="Calibri" w:hAnsi="Calibri"/>
          <w:color w:val="555555"/>
          <w:sz w:val="28"/>
        </w:rPr>
        <w:t>An End-to-End Machine Learning Pipeline</w:t>
        <w:br/>
        <w:t>for Consumer Lending Default Prediction</w:t>
      </w:r>
    </w:p>
    <w:p/>
    <w:p>
      <w:pPr>
        <w:jc w:val="center"/>
      </w:pPr>
      <w:r>
        <w:rPr>
          <w:color w:val="CCCCCC"/>
          <w:sz w:val="20"/>
        </w:rPr>
        <w:t>____________________________________________________________</w:t>
      </w:r>
    </w:p>
    <w:p/>
    <w:p>
      <w:pPr>
        <w:spacing w:before="0" w:after="40"/>
        <w:jc w:val="center"/>
      </w:pPr>
      <w:r>
        <w:rPr>
          <w:rFonts w:ascii="Calibri" w:hAnsi="Calibri"/>
          <w:b/>
          <w:color w:val="333333"/>
          <w:sz w:val="22"/>
        </w:rPr>
        <w:t xml:space="preserve">Prepared for: </w:t>
      </w:r>
      <w:r>
        <w:rPr>
          <w:rFonts w:ascii="Calibri" w:hAnsi="Calibri"/>
          <w:color w:val="555555"/>
          <w:sz w:val="22"/>
        </w:rPr>
        <w:t>Risk Committee</w:t>
      </w:r>
    </w:p>
    <w:p>
      <w:pPr>
        <w:spacing w:before="0" w:after="40"/>
        <w:jc w:val="center"/>
      </w:pPr>
      <w:r>
        <w:rPr>
          <w:rFonts w:ascii="Calibri" w:hAnsi="Calibri"/>
          <w:b/>
          <w:color w:val="333333"/>
          <w:sz w:val="22"/>
        </w:rPr>
        <w:t xml:space="preserve">Prepared by: </w:t>
      </w:r>
      <w:r>
        <w:rPr>
          <w:rFonts w:ascii="Calibri" w:hAnsi="Calibri"/>
          <w:color w:val="555555"/>
          <w:sz w:val="22"/>
        </w:rPr>
        <w:t>Data Science Team</w:t>
      </w:r>
    </w:p>
    <w:p>
      <w:pPr>
        <w:spacing w:before="0" w:after="40"/>
        <w:jc w:val="center"/>
      </w:pPr>
      <w:r>
        <w:rPr>
          <w:rFonts w:ascii="Calibri" w:hAnsi="Calibri"/>
          <w:b/>
          <w:color w:val="333333"/>
          <w:sz w:val="22"/>
        </w:rPr>
        <w:t xml:space="preserve">Date: </w:t>
      </w:r>
      <w:r>
        <w:rPr>
          <w:rFonts w:ascii="Calibri" w:hAnsi="Calibri"/>
          <w:color w:val="555555"/>
          <w:sz w:val="22"/>
        </w:rPr>
        <w:t>July 2026</w:t>
      </w:r>
    </w:p>
    <w:p>
      <w:pPr>
        <w:spacing w:before="0" w:after="40"/>
        <w:jc w:val="center"/>
      </w:pPr>
      <w:r>
        <w:rPr>
          <w:rFonts w:ascii="Calibri" w:hAnsi="Calibri"/>
          <w:b/>
          <w:color w:val="333333"/>
          <w:sz w:val="22"/>
        </w:rPr>
        <w:t xml:space="preserve">Classification: </w:t>
      </w:r>
      <w:r>
        <w:rPr>
          <w:rFonts w:ascii="Calibri" w:hAnsi="Calibri"/>
          <w:color w:val="555555"/>
          <w:sz w:val="22"/>
        </w:rPr>
        <w:t>Confidential — Internal Use Only</w:t>
      </w:r>
    </w:p>
    <w:p>
      <w:pPr>
        <w:spacing w:before="0" w:after="40"/>
        <w:jc w:val="center"/>
      </w:pPr>
      <w:r>
        <w:rPr>
          <w:rFonts w:ascii="Calibri" w:hAnsi="Calibri"/>
          <w:b/>
          <w:color w:val="333333"/>
          <w:sz w:val="22"/>
        </w:rPr>
        <w:t xml:space="preserve">Version: </w:t>
      </w:r>
      <w:r>
        <w:rPr>
          <w:rFonts w:ascii="Calibri" w:hAnsi="Calibri"/>
          <w:color w:val="555555"/>
          <w:sz w:val="22"/>
        </w:rPr>
        <w:t>1.0</w:t>
      </w:r>
    </w:p>
    <w:p/>
    <w:p/>
    <w:p>
      <w:pPr>
        <w:spacing w:before="400"/>
        <w:jc w:val="center"/>
      </w:pPr>
      <w:r>
        <w:rPr>
          <w:rFonts w:ascii="Calibri" w:hAnsi="Calibri"/>
          <w:i/>
          <w:color w:val="777777"/>
          <w:sz w:val="20"/>
        </w:rPr>
        <w:t>This report documents the development, evaluation, and business simulation of a</w:t>
        <w:br/>
        <w:t>machine learning model for predicting loan default at the lending platform The work</w:t>
        <w:br/>
        <w:t>was conducted using the Home Credit Default Risk dataset and represents an end-to-end</w:t>
        <w:br/>
        <w:t>credit risk analytics pipeline.</w:t>
      </w:r>
    </w:p>
    <w:p>
      <w:r>
        <w:br w:type="page"/>
      </w:r>
    </w:p>
    <w:p>
      <w:pPr>
        <w:pStyle w:val="Heading1"/>
      </w:pPr>
      <w:r>
        <w:t>Table of Contents</w:t>
      </w:r>
    </w:p>
    <w:p>
      <w:pPr>
        <w:spacing w:before="0" w:after="80" w:lineRule="auto" w:line="276"/>
      </w:pPr>
      <w:r>
        <w:rPr>
          <w:rFonts w:ascii="Calibri" w:hAnsi="Calibri"/>
          <w:b/>
          <w:sz w:val="22"/>
        </w:rPr>
        <w:t>1. Executive Summary</w:t>
      </w:r>
    </w:p>
    <w:p>
      <w:pPr>
        <w:spacing w:before="0" w:after="80" w:lineRule="auto" w:line="276"/>
      </w:pPr>
      <w:r>
        <w:rPr>
          <w:rFonts w:ascii="Calibri" w:hAnsi="Calibri"/>
          <w:b/>
          <w:sz w:val="22"/>
        </w:rPr>
        <w:t>2. Business Context</w:t>
      </w:r>
    </w:p>
    <w:p>
      <w:pPr>
        <w:spacing w:before="0" w:after="80" w:lineRule="auto" w:line="276"/>
      </w:pPr>
      <w:r>
        <w:rPr>
          <w:rFonts w:ascii="Calibri" w:hAnsi="Calibri"/>
          <w:b/>
          <w:sz w:val="22"/>
        </w:rPr>
        <w:t>3. Data Overview &amp; Exploratory Analysis</w:t>
      </w:r>
    </w:p>
    <w:p>
      <w:pPr>
        <w:spacing w:before="0" w:after="80" w:lineRule="auto" w:line="276"/>
      </w:pPr>
      <w:r>
        <w:rPr>
          <w:rFonts w:ascii="Calibri" w:hAnsi="Calibri"/>
          <w:b/>
          <w:sz w:val="22"/>
        </w:rPr>
        <w:t>4. Feature Engineering</w:t>
      </w:r>
    </w:p>
    <w:p>
      <w:pPr>
        <w:spacing w:before="0" w:after="80" w:lineRule="auto" w:line="276"/>
      </w:pPr>
      <w:r>
        <w:rPr>
          <w:rFonts w:ascii="Calibri" w:hAnsi="Calibri"/>
          <w:b/>
          <w:sz w:val="22"/>
        </w:rPr>
        <w:t>5. Model Development</w:t>
      </w:r>
    </w:p>
    <w:p>
      <w:pPr>
        <w:spacing w:before="0" w:after="80" w:lineRule="auto" w:line="276"/>
      </w:pPr>
      <w:r>
        <w:rPr>
          <w:rFonts w:ascii="Calibri" w:hAnsi="Calibri"/>
          <w:b/>
          <w:sz w:val="22"/>
        </w:rPr>
        <w:t>6. Model Evaluation</w:t>
      </w:r>
    </w:p>
    <w:p>
      <w:pPr>
        <w:spacing w:before="0" w:after="80" w:lineRule="auto" w:line="276"/>
      </w:pPr>
      <w:r>
        <w:rPr>
          <w:rFonts w:ascii="Calibri" w:hAnsi="Calibri"/>
          <w:b/>
          <w:sz w:val="22"/>
        </w:rPr>
        <w:t>7. Model Explainability</w:t>
      </w:r>
    </w:p>
    <w:p>
      <w:pPr>
        <w:spacing w:before="0" w:after="80" w:lineRule="auto" w:line="276"/>
      </w:pPr>
      <w:r>
        <w:rPr>
          <w:rFonts w:ascii="Calibri" w:hAnsi="Calibri"/>
          <w:b/>
          <w:sz w:val="22"/>
        </w:rPr>
        <w:t>8. Business Simulation</w:t>
      </w:r>
    </w:p>
    <w:p>
      <w:pPr>
        <w:spacing w:before="0" w:after="80" w:lineRule="auto" w:line="276"/>
      </w:pPr>
      <w:r>
        <w:rPr>
          <w:rFonts w:ascii="Calibri" w:hAnsi="Calibri"/>
          <w:b/>
          <w:sz w:val="22"/>
        </w:rPr>
        <w:t>9. Risk Segmentation &amp; Strategy</w:t>
      </w:r>
    </w:p>
    <w:p>
      <w:pPr>
        <w:spacing w:before="0" w:after="80" w:lineRule="auto" w:line="276"/>
      </w:pPr>
      <w:r>
        <w:rPr>
          <w:rFonts w:ascii="Calibri" w:hAnsi="Calibri"/>
          <w:b/>
          <w:sz w:val="22"/>
        </w:rPr>
        <w:t>10. Limitations &amp; Future Work</w:t>
      </w:r>
    </w:p>
    <w:p>
      <w:pPr>
        <w:spacing w:before="0" w:after="80" w:lineRule="auto" w:line="276"/>
      </w:pPr>
      <w:r>
        <w:rPr>
          <w:rFonts w:ascii="Calibri" w:hAnsi="Calibri"/>
          <w:b/>
          <w:sz w:val="22"/>
        </w:rPr>
        <w:t>11. Conclusion</w:t>
      </w:r>
    </w:p>
    <w:p>
      <w:pPr>
        <w:spacing w:before="0" w:after="80" w:lineRule="auto" w:line="276"/>
      </w:pPr>
      <w:r>
        <w:rPr>
          <w:rFonts w:ascii="Calibri" w:hAnsi="Calibri"/>
          <w:sz w:val="22"/>
        </w:rPr>
        <w:t>Appendix A: Feature Glossary</w:t>
      </w:r>
    </w:p>
    <w:p>
      <w:pPr>
        <w:spacing w:before="0" w:after="80" w:lineRule="auto" w:line="276"/>
      </w:pPr>
      <w:r>
        <w:rPr>
          <w:rFonts w:ascii="Calibri" w:hAnsi="Calibri"/>
          <w:sz w:val="22"/>
        </w:rPr>
        <w:t>Appendix B: Model Leaderboard</w:t>
      </w:r>
    </w:p>
    <w:p>
      <w:pPr>
        <w:spacing w:before="0" w:after="80" w:lineRule="auto" w:line="276"/>
      </w:pPr>
      <w:r>
        <w:rPr>
          <w:rFonts w:ascii="Calibri" w:hAnsi="Calibri"/>
          <w:sz w:val="22"/>
        </w:rPr>
        <w:t>Appendix C: Technical Stack</w:t>
      </w:r>
    </w:p>
    <w:p>
      <w:pPr>
        <w:spacing w:before="0" w:after="80" w:lineRule="auto" w:line="276"/>
      </w:pPr>
      <w:r>
        <w:rPr>
          <w:rFonts w:ascii="Calibri" w:hAnsi="Calibri"/>
          <w:sz w:val="22"/>
        </w:rPr>
        <w:t>Appendix D: Report Figure Index</w:t>
      </w:r>
    </w:p>
    <w:p>
      <w:r>
        <w:br w:type="page"/>
      </w:r>
    </w:p>
    <w:p>
      <w:pPr>
        <w:pStyle w:val="Heading1"/>
      </w:pPr>
      <w:r>
        <w:t>1. Executive Summary</w:t>
      </w:r>
    </w:p>
    <w:p>
      <w:pPr>
        <w:spacing w:before="0" w:after="120" w:lineRule="auto" w:line="264"/>
        <w:jc w:val="left"/>
      </w:pPr>
      <w:r>
        <w:rPr>
          <w:rFonts w:ascii="Calibri" w:hAnsi="Calibri"/>
          <w:sz w:val="22"/>
        </w:rPr>
        <w:t>the lending platform is a mid-sized digital consumer-lending platform that originates unsecured personal loans of $1,000 to $35,000 with 12 to 60-month terms. The company targets the near-prime segment (credit scores 580-680), a population underserved by traditional banks but carrying an elevated default risk of approximately 8%. This report presents the development of a machine learning-based Probability of Default (PD) model designed to improve underwriting decisions, reduce credit losses, and optimize portfolio profitability.</w:t>
      </w:r>
    </w:p>
    <w:p>
      <w:pPr>
        <w:spacing w:before="0" w:after="120" w:lineRule="auto" w:line="264"/>
        <w:jc w:val="left"/>
      </w:pPr>
      <w:r>
        <w:rPr>
          <w:rFonts w:ascii="Calibri" w:hAnsi="Calibri"/>
          <w:sz w:val="22"/>
        </w:rPr>
        <w:t>Using the Home Credit Default Risk dataset (307,511 applicants), we engineered 182 predictive features and trained five candidate models. Our selected model — LightGBM — achieved an AUC of 0.768 on a held-out test set, with a Gini coefficient of 0.536 and recall of 69.7% at the optimal decision threshold of 0.485.</w:t>
      </w:r>
    </w:p>
    <w:p>
      <w:pPr>
        <w:spacing w:before="0" w:after="120" w:lineRule="auto" w:line="264"/>
        <w:jc w:val="left"/>
      </w:pPr>
      <w:r>
        <w:rPr>
          <w:rFonts w:ascii="Calibri" w:hAnsi="Calibri"/>
          <w:sz w:val="22"/>
        </w:rPr>
        <w:t>The business impact is substantial. In a simulated portfolio of 50,000 loans ($625 million total principal), the AI model at its optimal threshold generates $112.6 million in net profit with a 26.83% risk-adjusted return, approving 67% of applicants. This represents a $104.5 million (1,298%) improvement over the current rule-based underwriting policy, which approves only 4.6% of applicants and generates just $8.1 million in profit. The model's decision threshold can be adjusted across a wide range to accommodate different business cycles without retraining.</w:t>
      </w:r>
    </w:p>
    <w:p>
      <w:pPr>
        <w:pStyle w:val="Heading2"/>
      </w:pPr>
      <w:r>
        <w:t>Key Findings</w:t>
      </w:r>
    </w:p>
    <w:p>
      <w:pPr>
        <w:pStyle w:val="ListBullet"/>
        <w:spacing w:before="0" w:after="160" w:lineRule="auto" w:line="280"/>
      </w:pPr>
      <w:r>
        <w:rPr>
          <w:rFonts w:ascii="Calibri" w:hAnsi="Calibri"/>
          <w:sz w:val="22"/>
        </w:rPr>
        <w:t>Best model: LightGBM (AUC 0.768), selected from five candidates</w:t>
      </w:r>
    </w:p>
    <w:p>
      <w:pPr>
        <w:pStyle w:val="ListBullet"/>
        <w:spacing w:before="0" w:after="160" w:lineRule="auto" w:line="280"/>
      </w:pPr>
      <w:r>
        <w:rPr>
          <w:rFonts w:ascii="Calibri" w:hAnsi="Calibri"/>
          <w:sz w:val="22"/>
        </w:rPr>
        <w:t>Dominant risk driver: EXT_MEAN — composite external creditworthiness (SHAP importance 0.47)</w:t>
      </w:r>
    </w:p>
    <w:p>
      <w:pPr>
        <w:pStyle w:val="ListBullet"/>
        <w:spacing w:before="0" w:after="160" w:lineRule="auto" w:line="280"/>
      </w:pPr>
      <w:r>
        <w:rPr>
          <w:rFonts w:ascii="Calibri" w:hAnsi="Calibri"/>
          <w:sz w:val="22"/>
        </w:rPr>
        <w:t>AI model generates $104.5M more profit than current rules — a 1,298% improvement</w:t>
      </w:r>
    </w:p>
    <w:p>
      <w:pPr>
        <w:pStyle w:val="ListBullet"/>
        <w:spacing w:before="0" w:after="160" w:lineRule="auto" w:line="280"/>
      </w:pPr>
      <w:r>
        <w:rPr>
          <w:rFonts w:ascii="Calibri" w:hAnsi="Calibri"/>
          <w:sz w:val="22"/>
        </w:rPr>
        <w:t>Flexible threshold permits tuning for growth or capital preservation across business cycles</w:t>
      </w:r>
    </w:p>
    <w:p>
      <w:pPr>
        <w:pStyle w:val="ListBullet"/>
        <w:spacing w:before="0" w:after="160" w:lineRule="auto" w:line="280"/>
      </w:pPr>
      <w:r>
        <w:rPr>
          <w:rFonts w:ascii="Calibri" w:hAnsi="Calibri"/>
          <w:sz w:val="22"/>
        </w:rPr>
        <w:t>Top-5% collections intervention yields $52,575 net benefit after costs</w:t>
      </w:r>
    </w:p>
    <w:p>
      <w:r>
        <w:br w:type="page"/>
      </w:r>
    </w:p>
    <w:p>
      <w:pPr>
        <w:pStyle w:val="Heading1"/>
      </w:pPr>
      <w:r>
        <w:t>2. Business Context</w:t>
      </w:r>
    </w:p>
    <w:p>
      <w:pPr>
        <w:pStyle w:val="Heading2"/>
      </w:pPr>
      <w:r>
        <w:t>2.1 the lending platform — Company Profile</w:t>
      </w:r>
    </w:p>
    <w:p>
      <w:pPr>
        <w:spacing w:before="0" w:after="120" w:lineRule="auto" w:line="264"/>
        <w:jc w:val="left"/>
      </w:pPr>
      <w:r>
        <w:rPr>
          <w:rFonts w:ascii="Calibri" w:hAnsi="Calibri"/>
          <w:sz w:val="22"/>
        </w:rPr>
        <w:t>the lending platform is a digital consumer-lending platform operating in the United States. The company offers unsecured personal loans from $1,000 to $35,000 with terms of 12 to 60 months. Borrowers apply online and receive decisions within minutes. Horizon's active portfolio comprises approximately 50,000 loans with total exposure exceeding $600 million.</w:t>
      </w:r>
    </w:p>
    <w:p>
      <w:pPr>
        <w:spacing w:before="0" w:after="120" w:lineRule="auto" w:line="264"/>
        <w:jc w:val="left"/>
      </w:pPr>
      <w:r>
        <w:rPr>
          <w:rFonts w:ascii="Calibri" w:hAnsi="Calibri"/>
          <w:sz w:val="22"/>
        </w:rPr>
        <w:t>Horizon targets the near-prime segment — borrowers with credit scores between 580 and 680. This population is underserved by traditional banks, which typically require FICO scores above 680 for unsecured lending. However, near-prime borrowers carry higher default risk, making accurate risk assessment essential for sustainable profitability.</w:t>
      </w:r>
    </w:p>
    <w:p>
      <w:pPr>
        <w:pStyle w:val="Heading2"/>
      </w:pPr>
      <w:r>
        <w:t>2.2 The Near-Prime Lending Opportunity</w:t>
      </w:r>
    </w:p>
    <w:p>
      <w:pPr>
        <w:spacing w:before="0" w:after="120" w:lineRule="auto" w:line="264"/>
        <w:jc w:val="left"/>
      </w:pPr>
      <w:r>
        <w:rPr>
          <w:rFonts w:ascii="Calibri" w:hAnsi="Calibri"/>
          <w:sz w:val="22"/>
        </w:rPr>
        <w:t>The near-prime consumer lending market in the United States is estimated at over $200 billion annually. These borrowers are often creditworthy but have limited credit histories, past credit events, or lower incomes that disqualify them from prime lending. A lender that can accurately differentiate risk within this segment can capture a large, profitable market while managing losses.</w:t>
      </w:r>
    </w:p>
    <w:p>
      <w:pPr>
        <w:pStyle w:val="Heading2"/>
      </w:pPr>
      <w:r>
        <w:t>2.3 Why Default Prediction Matters</w:t>
      </w:r>
    </w:p>
    <w:p>
      <w:pPr>
        <w:spacing w:before="0" w:after="120" w:lineRule="auto" w:line="264"/>
        <w:jc w:val="left"/>
      </w:pPr>
      <w:r>
        <w:rPr>
          <w:rFonts w:ascii="Calibri" w:hAnsi="Calibri"/>
          <w:sz w:val="22"/>
        </w:rPr>
        <w:t>Accurate default prediction delivers value across the lending lifecycle:</w:t>
      </w:r>
    </w:p>
    <w:p>
      <w:pPr>
        <w:pStyle w:val="ListBullet"/>
        <w:spacing w:before="0" w:after="160" w:lineRule="auto" w:line="280"/>
      </w:pPr>
      <w:r>
        <w:rPr>
          <w:rFonts w:ascii="Calibri" w:hAnsi="Calibri"/>
          <w:sz w:val="22"/>
        </w:rPr>
        <w:t>Origination: Flag high-risk applicants before funding, enabling declines or risk-adjusted terms</w:t>
      </w:r>
    </w:p>
    <w:p>
      <w:pPr>
        <w:pStyle w:val="ListBullet"/>
        <w:spacing w:before="0" w:after="160" w:lineRule="auto" w:line="280"/>
      </w:pPr>
      <w:r>
        <w:rPr>
          <w:rFonts w:ascii="Calibri" w:hAnsi="Calibri"/>
          <w:sz w:val="22"/>
        </w:rPr>
        <w:t>Capital reserves: Better prediction reduces regulatory capital requirements under Basel III</w:t>
      </w:r>
    </w:p>
    <w:p>
      <w:pPr>
        <w:pStyle w:val="ListBullet"/>
        <w:spacing w:before="0" w:after="160" w:lineRule="auto" w:line="280"/>
      </w:pPr>
      <w:r>
        <w:rPr>
          <w:rFonts w:ascii="Calibri" w:hAnsi="Calibri"/>
          <w:sz w:val="22"/>
        </w:rPr>
        <w:t>Pricing: Risk-segmented pricing retains good customers while protecting margins</w:t>
      </w:r>
    </w:p>
    <w:p>
      <w:pPr>
        <w:pStyle w:val="ListBullet"/>
        <w:spacing w:before="0" w:after="160" w:lineRule="auto" w:line="280"/>
      </w:pPr>
      <w:r>
        <w:rPr>
          <w:rFonts w:ascii="Calibri" w:hAnsi="Calibri"/>
          <w:sz w:val="22"/>
        </w:rPr>
        <w:t>Collections: PD scores prioritize collection resources on accounts most likely to default</w:t>
      </w:r>
    </w:p>
    <w:p>
      <w:pPr>
        <w:spacing w:before="120" w:after="120" w:lineRule="auto" w:line="264"/>
        <w:jc w:val="left"/>
      </w:pPr>
      <w:r>
        <w:rPr>
          <w:rFonts w:ascii="Calibri" w:hAnsi="Calibri"/>
          <w:sz w:val="22"/>
        </w:rPr>
        <w:t>A 5-point improvement in AUC (e.g., 0.75 to 0.80) is estimated to reduce net charge-offs by 15-20%, worth approximately $2-3 million annually for a portfolio of this size.</w:t>
      </w:r>
    </w:p>
    <w:p>
      <w:pPr>
        <w:pStyle w:val="Heading2"/>
      </w:pPr>
      <w:r>
        <w:t>2.4 Stakeholder Map</w:t>
      </w:r>
    </w:p>
    <w:tbl>
      <w:tblPr>
        <w:tblW w:type="dxa" w:w="9360"/>
        <w:jc w:val="left"/>
        <w:tblLayout w:type="fixed"/>
        <w:tblLook w:firstColumn="1" w:firstRow="1" w:lastColumn="0" w:lastRow="0" w:noHBand="0" w:noVBand="1" w:val="04A0"/>
        <w:tblInd w:type="dxa" w:w="120"/>
      </w:tblPr>
      <w:tblGrid>
        <w:gridCol w:w="2000"/>
        <w:gridCol w:w="3000"/>
        <w:gridCol w:w="4360"/>
      </w:tblGrid>
      <w:tr>
        <w:trPr/>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Stakeholder</w:t>
            </w:r>
          </w:p>
        </w:tc>
        <w:tc>
          <w:tcPr>
            <w:tcW w:type="dxa" w:w="3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Role</w:t>
            </w:r>
          </w:p>
        </w:tc>
        <w:tc>
          <w:tcPr>
            <w:tcW w:type="dxa" w:w="4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Key Question</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Risk Management</w:t>
            </w:r>
          </w:p>
        </w:tc>
        <w:tc>
          <w:tcPr>
            <w:tcW w:type="dxa" w:w="3000"/>
            <w:vAlign w:val="center"/>
            <w:tcMar>
              <w:top w:w="80" w:type="dxa"/>
              <w:bottom w:w="80" w:type="dxa"/>
              <w:start w:w="120" w:type="dxa"/>
              <w:end w:w="120" w:type="dxa"/>
            </w:tcMar>
          </w:tcPr>
          <w:p>
            <w:pPr>
              <w:spacing w:before="40" w:after="40" w:lineRule="auto" w:line="240"/>
              <w:jc w:val="left"/>
            </w:pPr>
            <w:r/>
            <w:r>
              <w:rPr>
                <w:rFonts w:ascii="Calibri" w:hAnsi="Calibri"/>
                <w:sz w:val="19"/>
              </w:rPr>
              <w:t>Credit risk oversight</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Decision quality?</w:t>
            </w:r>
          </w:p>
        </w:tc>
      </w:tr>
      <w:tr>
        <w:trPr/>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Underwriting Team</w:t>
            </w:r>
          </w:p>
        </w:tc>
        <w:tc>
          <w:tcPr>
            <w:tcW w:type="dxa" w:w="30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Makes loan decisions</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Can we trust this score to automate decisions?</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Collections Manager</w:t>
            </w:r>
          </w:p>
        </w:tc>
        <w:tc>
          <w:tcPr>
            <w:tcW w:type="dxa" w:w="3000"/>
            <w:vAlign w:val="center"/>
            <w:tcMar>
              <w:top w:w="80" w:type="dxa"/>
              <w:bottom w:w="80" w:type="dxa"/>
              <w:start w:w="120" w:type="dxa"/>
              <w:end w:w="120" w:type="dxa"/>
            </w:tcMar>
          </w:tcPr>
          <w:p>
            <w:pPr>
              <w:spacing w:before="40" w:after="40" w:lineRule="auto" w:line="240"/>
              <w:jc w:val="left"/>
            </w:pPr>
            <w:r/>
            <w:r>
              <w:rPr>
                <w:rFonts w:ascii="Calibri" w:hAnsi="Calibri"/>
                <w:sz w:val="19"/>
              </w:rPr>
              <w:t>Manages delinquent accounts</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Which accounts should we call first?</w:t>
            </w:r>
          </w:p>
        </w:tc>
      </w:tr>
      <w:tr>
        <w:trPr/>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Finance / Treasury</w:t>
            </w:r>
          </w:p>
        </w:tc>
        <w:tc>
          <w:tcPr>
            <w:tcW w:type="dxa" w:w="30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Manages capital allocation</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What is our expected loss next quarter?</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Regulatory Compliance</w:t>
            </w:r>
          </w:p>
        </w:tc>
        <w:tc>
          <w:tcPr>
            <w:tcW w:type="dxa" w:w="3000"/>
            <w:vAlign w:val="center"/>
            <w:tcMar>
              <w:top w:w="80" w:type="dxa"/>
              <w:bottom w:w="80" w:type="dxa"/>
              <w:start w:w="120" w:type="dxa"/>
              <w:end w:w="120" w:type="dxa"/>
            </w:tcMar>
          </w:tcPr>
          <w:p>
            <w:pPr>
              <w:spacing w:before="40" w:after="40" w:lineRule="auto" w:line="240"/>
              <w:jc w:val="left"/>
            </w:pPr>
            <w:r/>
            <w:r>
              <w:rPr>
                <w:rFonts w:ascii="Calibri" w:hAnsi="Calibri"/>
                <w:sz w:val="19"/>
              </w:rPr>
              <w:t>Ensures fair lending</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Does the model discriminate?</w:t>
            </w:r>
          </w:p>
        </w:tc>
      </w:tr>
      <w:tr>
        <w:trPr/>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Product Manager</w:t>
            </w:r>
          </w:p>
        </w:tc>
        <w:tc>
          <w:tcPr>
            <w:tcW w:type="dxa" w:w="30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Designs loan terms</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Can we offer better rates to good borrowers?</w:t>
            </w:r>
          </w:p>
        </w:tc>
      </w:tr>
    </w:tbl>
    <w:p>
      <w:pPr>
        <w:spacing w:before="80" w:after="80" w:lineRule="auto" w:line="264"/>
        <w:jc w:val="left"/>
      </w:pPr>
      <w:r>
        <w:rPr>
          <w:rFonts w:ascii="Calibri" w:hAnsi="Calibri"/>
          <w:i/>
          <w:color w:val="555555"/>
          <w:sz w:val="18"/>
        </w:rPr>
        <w:t>Table 1: Stakeholder map for the credit risk analytics initiative</w:t>
      </w:r>
    </w:p>
    <w:p>
      <w:pPr>
        <w:pStyle w:val="Heading2"/>
      </w:pPr>
      <w:r>
        <w:t>2.5 Success Criteria</w:t>
      </w:r>
    </w:p>
    <w:p>
      <w:pPr>
        <w:spacing w:before="0" w:after="120" w:lineRule="auto" w:line="264"/>
        <w:jc w:val="left"/>
      </w:pPr>
      <w:r>
        <w:rPr>
          <w:rFonts w:ascii="Calibri" w:hAnsi="Calibri"/>
          <w:sz w:val="22"/>
        </w:rPr>
        <w:t>The project's success was evaluated against both technical and business criteria:</w:t>
      </w:r>
    </w:p>
    <w:p>
      <w:pPr>
        <w:pStyle w:val="ListBullet"/>
        <w:spacing w:before="0" w:after="160" w:lineRule="auto" w:line="280"/>
      </w:pPr>
      <w:r>
        <w:rPr>
          <w:rFonts w:ascii="Calibri" w:hAnsi="Calibri"/>
          <w:sz w:val="22"/>
        </w:rPr>
        <w:t>Primary — Technical: Build a default-probability model achieving AUC &gt;= 0.80 on a holdout test set</w:t>
      </w:r>
    </w:p>
    <w:p>
      <w:pPr>
        <w:pStyle w:val="ListBullet"/>
        <w:spacing w:before="0" w:after="160" w:lineRule="auto" w:line="280"/>
      </w:pPr>
      <w:r>
        <w:rPr>
          <w:rFonts w:ascii="Calibri" w:hAnsi="Calibri"/>
          <w:sz w:val="22"/>
        </w:rPr>
        <w:t>Secondary — Business: Translate model outputs into dollar-denominated profit simulations</w:t>
      </w:r>
    </w:p>
    <w:p>
      <w:pPr>
        <w:pStyle w:val="ListBullet"/>
        <w:spacing w:before="0" w:after="160" w:lineRule="auto" w:line="280"/>
      </w:pPr>
      <w:r>
        <w:rPr>
          <w:rFonts w:ascii="Calibri" w:hAnsi="Calibri"/>
          <w:sz w:val="22"/>
        </w:rPr>
        <w:t>Tertiary — Deployment: Produce dashboard exports for stakeholder consumption</w:t>
      </w:r>
    </w:p>
    <w:p>
      <w:pPr>
        <w:pStyle w:val="ListBullet"/>
        <w:spacing w:before="0" w:after="160" w:lineRule="auto" w:line="280"/>
      </w:pPr>
      <w:r>
        <w:rPr>
          <w:rFonts w:ascii="Calibri" w:hAnsi="Calibri"/>
          <w:sz w:val="22"/>
        </w:rPr>
        <w:t>Compliance: Perform fairness analysis to identify any disparate impact</w:t>
      </w:r>
    </w:p>
    <w:p>
      <w:r>
        <w:br w:type="page"/>
      </w:r>
    </w:p>
    <w:p>
      <w:pPr>
        <w:pStyle w:val="Heading1"/>
      </w:pPr>
      <w:r>
        <w:t>3. Data Overview &amp; Exploratory Analysis</w:t>
      </w:r>
    </w:p>
    <w:p>
      <w:pPr>
        <w:pStyle w:val="Heading2"/>
      </w:pPr>
      <w:r>
        <w:t>3.1 Dataset: Home Credit Default Risk</w:t>
      </w:r>
    </w:p>
    <w:p>
      <w:pPr>
        <w:spacing w:before="0" w:after="120" w:lineRule="auto" w:line="264"/>
        <w:jc w:val="left"/>
      </w:pPr>
      <w:r>
        <w:rPr>
          <w:rFonts w:ascii="Calibri" w:hAnsi="Calibri"/>
          <w:sz w:val="22"/>
        </w:rPr>
        <w:t>The Home Credit Default Risk dataset from Kaggle contains 307,511 loan applicants with 122 raw features from a genuine consumer-lending company. The dataset was selected for its realistic imbalance (~8% default rate), richness of applicant-level data, and industry relevance.</w:t>
      </w:r>
    </w:p>
    <w:p>
      <w:pPr>
        <w:spacing w:before="80" w:after="80" w:lineRule="auto" w:line="264"/>
        <w:jc w:val="left"/>
      </w:pPr>
      <w:r>
        <w:rPr>
          <w:rFonts w:ascii="Calibri" w:hAnsi="Calibri"/>
          <w:i/>
          <w:color w:val="555555"/>
          <w:sz w:val="18"/>
        </w:rPr>
        <w:t>Table 2: Dataset summary</w:t>
      </w:r>
    </w:p>
    <w:tbl>
      <w:tblPr>
        <w:tblW w:type="dxa" w:w="9360"/>
        <w:jc w:val="left"/>
        <w:tblLayout w:type="fixed"/>
        <w:tblLook w:firstColumn="1" w:firstRow="1" w:lastColumn="0" w:lastRow="0" w:noHBand="0" w:noVBand="1" w:val="04A0"/>
        <w:tblInd w:type="dxa" w:w="120"/>
      </w:tblPr>
      <w:tblGrid>
        <w:gridCol w:w="2000"/>
        <w:gridCol w:w="7360"/>
      </w:tblGrid>
      <w:tr>
        <w:trPr/>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Attribute</w:t>
            </w:r>
          </w:p>
        </w:tc>
        <w:tc>
          <w:tcPr>
            <w:tcW w:type="dxa" w:w="7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Detail</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Source</w:t>
            </w:r>
          </w:p>
        </w:tc>
        <w:tc>
          <w:tcPr>
            <w:tcW w:type="dxa" w:w="7360"/>
            <w:vAlign w:val="center"/>
            <w:tcMar>
              <w:top w:w="80" w:type="dxa"/>
              <w:bottom w:w="80" w:type="dxa"/>
              <w:start w:w="120" w:type="dxa"/>
              <w:end w:w="120" w:type="dxa"/>
            </w:tcMar>
          </w:tcPr>
          <w:p>
            <w:pPr>
              <w:spacing w:before="40" w:after="40" w:lineRule="auto" w:line="240"/>
              <w:jc w:val="left"/>
            </w:pPr>
            <w:r/>
            <w:r>
              <w:rPr>
                <w:rFonts w:ascii="Calibri" w:hAnsi="Calibri"/>
                <w:sz w:val="19"/>
              </w:rPr>
              <w:t>Kaggle: Home Credit Default Risk</w:t>
            </w:r>
          </w:p>
        </w:tc>
      </w:tr>
      <w:tr>
        <w:trPr/>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Applicants</w:t>
            </w:r>
          </w:p>
        </w:tc>
        <w:tc>
          <w:tcPr>
            <w:tcW w:type="dxa" w:w="73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307,511 (80% train / 20% test)</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Raw Features</w:t>
            </w:r>
          </w:p>
        </w:tc>
        <w:tc>
          <w:tcPr>
            <w:tcW w:type="dxa" w:w="7360"/>
            <w:vAlign w:val="center"/>
            <w:tcMar>
              <w:top w:w="80" w:type="dxa"/>
              <w:bottom w:w="80" w:type="dxa"/>
              <w:start w:w="120" w:type="dxa"/>
              <w:end w:w="120" w:type="dxa"/>
            </w:tcMar>
          </w:tcPr>
          <w:p>
            <w:pPr>
              <w:spacing w:before="40" w:after="40" w:lineRule="auto" w:line="240"/>
              <w:jc w:val="left"/>
            </w:pPr>
            <w:r/>
            <w:r>
              <w:rPr>
                <w:rFonts w:ascii="Calibri" w:hAnsi="Calibri"/>
                <w:sz w:val="19"/>
              </w:rPr>
              <w:t>122 columns</w:t>
            </w:r>
          </w:p>
        </w:tc>
      </w:tr>
      <w:tr>
        <w:trPr/>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Target</w:t>
            </w:r>
          </w:p>
        </w:tc>
        <w:tc>
          <w:tcPr>
            <w:tcW w:type="dxa" w:w="73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TARGET — 1 if defaulted (90+ DPD), 0 if repaid</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Default Rate</w:t>
            </w:r>
          </w:p>
        </w:tc>
        <w:tc>
          <w:tcPr>
            <w:tcW w:type="dxa" w:w="7360"/>
            <w:vAlign w:val="center"/>
            <w:tcMar>
              <w:top w:w="80" w:type="dxa"/>
              <w:bottom w:w="80" w:type="dxa"/>
              <w:start w:w="120" w:type="dxa"/>
              <w:end w:w="120" w:type="dxa"/>
            </w:tcMar>
          </w:tcPr>
          <w:p>
            <w:pPr>
              <w:spacing w:before="40" w:after="40" w:lineRule="auto" w:line="240"/>
              <w:jc w:val="left"/>
            </w:pPr>
            <w:r/>
            <w:r>
              <w:rPr>
                <w:rFonts w:ascii="Calibri" w:hAnsi="Calibri"/>
                <w:sz w:val="19"/>
              </w:rPr>
              <w:t>8.07%</w:t>
            </w:r>
          </w:p>
        </w:tc>
      </w:tr>
    </w:tbl>
    <w:p>
      <w:pPr>
        <w:spacing w:before="0" w:after="40" w:lineRule="auto" w:line="264"/>
        <w:jc w:val="left"/>
      </w:pPr>
      <w:r>
        <w:rPr>
          <w:rFonts w:ascii="Calibri" w:hAnsi="Calibri"/>
          <w:sz w:val="22"/>
        </w:rPr>
      </w:r>
    </w:p>
    <w:p>
      <w:pPr>
        <w:pStyle w:val="Heading2"/>
      </w:pPr>
      <w:r>
        <w:t>3.2 Target Variable &amp; Base Rates</w:t>
      </w:r>
    </w:p>
    <w:p>
      <w:pPr>
        <w:spacing w:before="0" w:after="120" w:lineRule="auto" w:line="264"/>
        <w:jc w:val="left"/>
      </w:pPr>
      <w:r>
        <w:rPr>
          <w:rFonts w:ascii="Calibri" w:hAnsi="Calibri"/>
          <w:sz w:val="22"/>
        </w:rPr>
        <w:t>The target variable TARGET indicates whether a borrower defaulted on their loan, defined by Home Credit as having a payment delay of more than X days on the first installment — consistent with the industry-standard 90+ days past due definition. The base default rate is 8.07%, yielding an imbalance ratio of 11.4:1 (majority to minority class). This means a naive "predict all 0" model would achieve 92% accuracy while being completely useless for risk differentiation.</w:t>
      </w:r>
    </w:p>
    <w:p>
      <w:pPr>
        <w:spacing w:before="160" w:after="80"/>
        <w:jc w:val="center"/>
      </w:pPr>
      <w:r>
        <w:drawing>
          <wp:inline xmlns:a="http://schemas.openxmlformats.org/drawingml/2006/main" xmlns:pic="http://schemas.openxmlformats.org/drawingml/2006/picture">
            <wp:extent cx="4572000" cy="2834331"/>
            <wp:docPr id="1" name="Picture 1"/>
            <wp:cNvGraphicFramePr>
              <a:graphicFrameLocks noChangeAspect="1"/>
            </wp:cNvGraphicFramePr>
            <a:graphic>
              <a:graphicData uri="http://schemas.openxmlformats.org/drawingml/2006/picture">
                <pic:pic>
                  <pic:nvPicPr>
                    <pic:cNvPr id="0" name="eda_target_imbalance.png"/>
                    <pic:cNvPicPr/>
                  </pic:nvPicPr>
                  <pic:blipFill>
                    <a:blip r:embed="rId9"/>
                    <a:stretch>
                      <a:fillRect/>
                    </a:stretch>
                  </pic:blipFill>
                  <pic:spPr>
                    <a:xfrm>
                      <a:off x="0" y="0"/>
                      <a:ext cx="4572000" cy="2834331"/>
                    </a:xfrm>
                    <a:prstGeom prst="rect"/>
                  </pic:spPr>
                </pic:pic>
              </a:graphicData>
            </a:graphic>
          </wp:inline>
        </w:drawing>
      </w:r>
    </w:p>
    <w:p>
      <w:pPr>
        <w:spacing w:before="0" w:after="120" w:lineRule="auto" w:line="240"/>
        <w:jc w:val="center"/>
      </w:pPr>
      <w:r>
        <w:rPr>
          <w:rFonts w:ascii="Calibri" w:hAnsi="Calibri"/>
          <w:i/>
          <w:color w:val="555555"/>
          <w:sz w:val="18"/>
        </w:rPr>
        <w:t>Figure 1: Target distribution showing 8.07% default rate</w:t>
      </w:r>
    </w:p>
    <w:p>
      <w:pPr>
        <w:pStyle w:val="Heading2"/>
      </w:pPr>
      <w:r>
        <w:t>3.3 Data Quality Assessment</w:t>
      </w:r>
    </w:p>
    <w:p>
      <w:pPr>
        <w:spacing w:before="0" w:after="120" w:lineRule="auto" w:line="264"/>
        <w:jc w:val="left"/>
      </w:pPr>
      <w:r>
        <w:rPr>
          <w:rFonts w:ascii="Calibri" w:hAnsi="Calibri"/>
          <w:sz w:val="22"/>
        </w:rPr>
        <w:t>A comprehensive data quality check revealed several challenges requiring remediation:</w:t>
      </w:r>
    </w:p>
    <w:p>
      <w:pPr>
        <w:pStyle w:val="ListBullet"/>
        <w:spacing w:before="0" w:after="160" w:lineRule="auto" w:line="280"/>
      </w:pPr>
      <w:r>
        <w:rPr>
          <w:rFonts w:ascii="Calibri" w:hAnsi="Calibri"/>
          <w:sz w:val="22"/>
        </w:rPr>
        <w:t>Missing values: Many features had missingness exceeding 60%, particularly external credit sources</w:t>
      </w:r>
    </w:p>
    <w:p>
      <w:pPr>
        <w:pStyle w:val="ListBullet"/>
        <w:spacing w:before="0" w:after="160" w:lineRule="auto" w:line="280"/>
      </w:pPr>
      <w:r>
        <w:rPr>
          <w:rFonts w:ascii="Calibri" w:hAnsi="Calibri"/>
          <w:sz w:val="22"/>
        </w:rPr>
        <w:t>DAYS_EMPLOYED artifact: 55,374 applicants (18.0%) showed a value of 365,243 days, encoding unemployed status rather than actual employment duration</w:t>
      </w:r>
    </w:p>
    <w:p>
      <w:pPr>
        <w:pStyle w:val="ListBullet"/>
        <w:spacing w:before="0" w:after="160" w:lineRule="auto" w:line="280"/>
      </w:pPr>
      <w:r>
        <w:rPr>
          <w:rFonts w:ascii="Calibri" w:hAnsi="Calibri"/>
          <w:sz w:val="22"/>
        </w:rPr>
        <w:t>Outliers: Extreme values in income (AMT_INCOME_TOTAL) and loan amount (AMT_CREDIT) required domain-informed capping</w:t>
      </w:r>
    </w:p>
    <w:p>
      <w:pPr>
        <w:pStyle w:val="ListBullet"/>
        <w:spacing w:before="0" w:after="160" w:lineRule="auto" w:line="280"/>
      </w:pPr>
      <w:r>
        <w:rPr>
          <w:rFonts w:ascii="Calibri" w:hAnsi="Calibri"/>
          <w:sz w:val="22"/>
        </w:rPr>
        <w:t>No duplicate records found — the primary key SK_ID_CURR is unique</w:t>
      </w:r>
    </w:p>
    <w:p>
      <w:pPr>
        <w:pStyle w:val="ListBullet"/>
        <w:spacing w:before="0" w:after="160" w:lineRule="auto" w:line="280"/>
      </w:pPr>
      <w:r>
        <w:rPr>
          <w:rFonts w:ascii="Calibri" w:hAnsi="Calibri"/>
          <w:sz w:val="22"/>
        </w:rPr>
        <w:t>The DAYS_EMPLOYED artifact is informative: unemployed applicants show 5.40% default rate vs. 8.66% for employed applicants</w:t>
      </w:r>
    </w:p>
    <w:p>
      <w:pPr>
        <w:spacing w:before="160" w:after="80"/>
        <w:jc w:val="center"/>
      </w:pPr>
      <w:r>
        <w:drawing>
          <wp:inline xmlns:a="http://schemas.openxmlformats.org/drawingml/2006/main" xmlns:pic="http://schemas.openxmlformats.org/drawingml/2006/picture">
            <wp:extent cx="5029200" cy="1872507"/>
            <wp:docPr id="2" name="Picture 2"/>
            <wp:cNvGraphicFramePr>
              <a:graphicFrameLocks noChangeAspect="1"/>
            </wp:cNvGraphicFramePr>
            <a:graphic>
              <a:graphicData uri="http://schemas.openxmlformats.org/drawingml/2006/picture">
                <pic:pic>
                  <pic:nvPicPr>
                    <pic:cNvPr id="0" name="eda_missing_values.png"/>
                    <pic:cNvPicPr/>
                  </pic:nvPicPr>
                  <pic:blipFill>
                    <a:blip r:embed="rId10"/>
                    <a:stretch>
                      <a:fillRect/>
                    </a:stretch>
                  </pic:blipFill>
                  <pic:spPr>
                    <a:xfrm>
                      <a:off x="0" y="0"/>
                      <a:ext cx="5029200" cy="1872507"/>
                    </a:xfrm>
                    <a:prstGeom prst="rect"/>
                  </pic:spPr>
                </pic:pic>
              </a:graphicData>
            </a:graphic>
          </wp:inline>
        </w:drawing>
      </w:r>
    </w:p>
    <w:p>
      <w:pPr>
        <w:spacing w:before="0" w:after="120" w:lineRule="auto" w:line="240"/>
        <w:jc w:val="center"/>
      </w:pPr>
      <w:r>
        <w:rPr>
          <w:rFonts w:ascii="Calibri" w:hAnsi="Calibri"/>
          <w:i/>
          <w:color w:val="555555"/>
          <w:sz w:val="18"/>
        </w:rPr>
        <w:t>Figure 2: Missing value analysis across features</w:t>
      </w:r>
    </w:p>
    <w:p>
      <w:pPr>
        <w:pStyle w:val="Heading2"/>
      </w:pPr>
      <w:r>
        <w:t>3.4 Risk Driver Identification</w:t>
      </w:r>
    </w:p>
    <w:p>
      <w:pPr>
        <w:spacing w:before="0" w:after="120" w:lineRule="auto" w:line="264"/>
        <w:jc w:val="left"/>
      </w:pPr>
      <w:r>
        <w:rPr>
          <w:rFonts w:ascii="Calibri" w:hAnsi="Calibri"/>
          <w:sz w:val="22"/>
        </w:rPr>
        <w:t>Exploratory data analysis identified several powerful risk signals:</w:t>
      </w:r>
    </w:p>
    <w:p>
      <w:pPr>
        <w:spacing w:before="80" w:after="120" w:lineRule="auto" w:line="264"/>
        <w:jc w:val="left"/>
      </w:pPr>
      <w:r>
        <w:rPr>
          <w:rFonts w:ascii="Calibri" w:hAnsi="Calibri"/>
          <w:b/>
          <w:sz w:val="22"/>
        </w:rPr>
        <w:t>External Credit Scores</w:t>
      </w:r>
    </w:p>
    <w:p>
      <w:pPr>
        <w:pStyle w:val="ListBullet"/>
        <w:spacing w:before="0" w:after="160" w:lineRule="auto" w:line="280"/>
      </w:pPr>
      <w:r>
        <w:rPr>
          <w:rFonts w:ascii="Calibri" w:hAnsi="Calibri"/>
          <w:sz w:val="22"/>
        </w:rPr>
        <w:t>EXT_SOURCE_2 bottom decile: 18.35% default rate vs. top decile: 2.97% — a 6.2x risk differential</w:t>
      </w:r>
    </w:p>
    <w:p>
      <w:pPr>
        <w:pStyle w:val="ListBullet"/>
        <w:spacing w:before="0" w:after="160" w:lineRule="auto" w:line="280"/>
      </w:pPr>
      <w:r>
        <w:rPr>
          <w:rFonts w:ascii="Calibri" w:hAnsi="Calibri"/>
          <w:sz w:val="22"/>
        </w:rPr>
        <w:t>EXT_SOURCE_3 and EXT_SOURCE_1 show similar but smaller gradients</w:t>
      </w:r>
    </w:p>
    <w:p>
      <w:pPr>
        <w:spacing w:before="80" w:after="120" w:lineRule="auto" w:line="264"/>
        <w:jc w:val="left"/>
      </w:pPr>
      <w:r>
        <w:rPr>
          <w:rFonts w:ascii="Calibri" w:hAnsi="Calibri"/>
          <w:b/>
          <w:sz w:val="22"/>
        </w:rPr>
        <w:t>Demographic Factors</w:t>
      </w:r>
    </w:p>
    <w:p>
      <w:pPr>
        <w:pStyle w:val="ListBullet"/>
        <w:spacing w:before="0" w:after="160" w:lineRule="auto" w:line="280"/>
      </w:pPr>
      <w:r>
        <w:rPr>
          <w:rFonts w:ascii="Calibri" w:hAnsi="Calibri"/>
          <w:sz w:val="22"/>
        </w:rPr>
        <w:t>Youngest applicants (18-25): 11.74% default rate</w:t>
      </w:r>
    </w:p>
    <w:p>
      <w:pPr>
        <w:pStyle w:val="ListBullet"/>
        <w:spacing w:before="0" w:after="160" w:lineRule="auto" w:line="280"/>
      </w:pPr>
      <w:r>
        <w:rPr>
          <w:rFonts w:ascii="Calibri" w:hAnsi="Calibri"/>
          <w:sz w:val="22"/>
        </w:rPr>
        <w:t>Oldest applicants (60+): 4.92% default rate — a 2.4x risk differential</w:t>
      </w:r>
    </w:p>
    <w:p>
      <w:pPr>
        <w:pStyle w:val="ListBullet"/>
        <w:spacing w:before="0" w:after="160" w:lineRule="auto" w:line="280"/>
      </w:pPr>
      <w:r>
        <w:rPr>
          <w:rFonts w:ascii="Calibri" w:hAnsi="Calibri"/>
          <w:sz w:val="22"/>
        </w:rPr>
        <w:t>Age gradient is monotonic and persistent across income bands</w:t>
      </w:r>
    </w:p>
    <w:p>
      <w:pPr>
        <w:spacing w:before="80" w:after="120" w:lineRule="auto" w:line="264"/>
        <w:jc w:val="left"/>
      </w:pPr>
      <w:r>
        <w:rPr>
          <w:rFonts w:ascii="Calibri" w:hAnsi="Calibri"/>
          <w:b/>
          <w:sz w:val="22"/>
        </w:rPr>
        <w:t>Top Features by Absolute Correlation with Target</w:t>
      </w:r>
    </w:p>
    <w:tbl>
      <w:tblPr>
        <w:tblW w:type="dxa" w:w="9360"/>
        <w:jc w:val="left"/>
        <w:tblLayout w:type="fixed"/>
        <w:tblLook w:firstColumn="1" w:firstRow="1" w:lastColumn="0" w:lastRow="0" w:noHBand="0" w:noVBand="1" w:val="04A0"/>
        <w:tblInd w:type="dxa" w:w="120"/>
      </w:tblPr>
      <w:tblGrid>
        <w:gridCol w:w="2600"/>
        <w:gridCol w:w="1600"/>
        <w:gridCol w:w="5160"/>
      </w:tblGrid>
      <w:tr>
        <w:trPr/>
        <w:tc>
          <w:tcPr>
            <w:tcW w:type="dxa" w:w="2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Feature</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Correlation</w:t>
            </w:r>
          </w:p>
        </w:tc>
        <w:tc>
          <w:tcPr>
            <w:tcW w:type="dxa" w:w="51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Interpretation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EXT_SOURCE_3</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-0.1789</w:t>
            </w:r>
          </w:p>
        </w:tc>
        <w:tc>
          <w:tcPr>
            <w:tcW w:type="dxa" w:w="5160"/>
            <w:vAlign w:val="center"/>
            <w:tcMar>
              <w:top w:w="80" w:type="dxa"/>
              <w:bottom w:w="80" w:type="dxa"/>
              <w:start w:w="120" w:type="dxa"/>
              <w:end w:w="120" w:type="dxa"/>
            </w:tcMar>
          </w:tcPr>
          <w:p>
            <w:pPr>
              <w:spacing w:before="40" w:after="40" w:lineRule="auto" w:line="240"/>
              <w:jc w:val="center"/>
            </w:pPr>
            <w:r/>
            <w:r>
              <w:rPr>
                <w:rFonts w:ascii="Calibri" w:hAnsi="Calibri"/>
                <w:sz w:val="19"/>
              </w:rPr>
              <w:t>Highest magnitude negative correlation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EXT_SOURCE_2</w:t>
            </w:r>
          </w:p>
        </w:tc>
        <w:tc>
          <w:tcPr>
            <w:tcW w:type="dxa" w:w="1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-0.1605</w:t>
            </w:r>
          </w:p>
        </w:tc>
        <w:tc>
          <w:tcPr>
            <w:tcW w:type="dxa" w:w="5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Strong second signal</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EXT_SOURCE_1</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-0.1553</w:t>
            </w:r>
          </w:p>
        </w:tc>
        <w:tc>
          <w:tcPr>
            <w:tcW w:type="dxa" w:w="5160"/>
            <w:vAlign w:val="center"/>
            <w:tcMar>
              <w:top w:w="80" w:type="dxa"/>
              <w:bottom w:w="80" w:type="dxa"/>
              <w:start w:w="120" w:type="dxa"/>
              <w:end w:w="120" w:type="dxa"/>
            </w:tcMar>
          </w:tcPr>
          <w:p>
            <w:pPr>
              <w:spacing w:before="40" w:after="40" w:lineRule="auto" w:line="240"/>
              <w:jc w:val="center"/>
            </w:pPr>
            <w:r/>
            <w:r>
              <w:rPr>
                <w:rFonts w:ascii="Calibri" w:hAnsi="Calibri"/>
                <w:sz w:val="19"/>
              </w:rPr>
              <w:t>Consistent across all three sources</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DAYS_BIRTH</w:t>
            </w:r>
          </w:p>
        </w:tc>
        <w:tc>
          <w:tcPr>
            <w:tcW w:type="dxa" w:w="1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+0.0782</w:t>
            </w:r>
          </w:p>
        </w:tc>
        <w:tc>
          <w:tcPr>
            <w:tcW w:type="dxa" w:w="5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Younger = higher risk</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DAYS_EMPLOYED</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-0.0449</w:t>
            </w:r>
          </w:p>
        </w:tc>
        <w:tc>
          <w:tcPr>
            <w:tcW w:type="dxa" w:w="5160"/>
            <w:vAlign w:val="center"/>
            <w:tcMar>
              <w:top w:w="80" w:type="dxa"/>
              <w:bottom w:w="80" w:type="dxa"/>
              <w:start w:w="120" w:type="dxa"/>
              <w:end w:w="120" w:type="dxa"/>
            </w:tcMar>
          </w:tcPr>
          <w:p>
            <w:pPr>
              <w:spacing w:before="40" w:after="40" w:lineRule="auto" w:line="240"/>
              <w:jc w:val="center"/>
            </w:pPr>
            <w:r/>
            <w:r>
              <w:rPr>
                <w:rFonts w:ascii="Calibri" w:hAnsi="Calibri"/>
                <w:sz w:val="19"/>
              </w:rPr>
              <w:t>Longer employment = lower risk</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AMT_CREDIT</w:t>
            </w:r>
          </w:p>
        </w:tc>
        <w:tc>
          <w:tcPr>
            <w:tcW w:type="dxa" w:w="1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-0.0304</w:t>
            </w:r>
          </w:p>
        </w:tc>
        <w:tc>
          <w:tcPr>
            <w:tcW w:type="dxa" w:w="5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Smaller loans correlate with slightly higher risk</w:t>
            </w:r>
          </w:p>
        </w:tc>
      </w:tr>
    </w:tbl>
    <w:p>
      <w:pPr>
        <w:spacing w:before="80" w:after="80" w:lineRule="auto" w:line="264"/>
        <w:jc w:val="left"/>
      </w:pPr>
      <w:r>
        <w:rPr>
          <w:rFonts w:ascii="Calibri" w:hAnsi="Calibri"/>
          <w:i/>
          <w:color w:val="555555"/>
          <w:sz w:val="18"/>
        </w:rPr>
        <w:t>Table 3: Top features by Pearson correlation with TARGET</w:t>
      </w:r>
    </w:p>
    <w:p>
      <w:pPr>
        <w:spacing w:before="160" w:after="80"/>
        <w:jc w:val="center"/>
      </w:pPr>
      <w:r>
        <w:drawing>
          <wp:inline xmlns:a="http://schemas.openxmlformats.org/drawingml/2006/main" xmlns:pic="http://schemas.openxmlformats.org/drawingml/2006/picture">
            <wp:extent cx="4754880" cy="4343964"/>
            <wp:docPr id="3" name="Picture 3"/>
            <wp:cNvGraphicFramePr>
              <a:graphicFrameLocks noChangeAspect="1"/>
            </wp:cNvGraphicFramePr>
            <a:graphic>
              <a:graphicData uri="http://schemas.openxmlformats.org/drawingml/2006/picture">
                <pic:pic>
                  <pic:nvPicPr>
                    <pic:cNvPr id="0" name="eda_correlation_heatmap.png"/>
                    <pic:cNvPicPr/>
                  </pic:nvPicPr>
                  <pic:blipFill>
                    <a:blip r:embed="rId11"/>
                    <a:stretch>
                      <a:fillRect/>
                    </a:stretch>
                  </pic:blipFill>
                  <pic:spPr>
                    <a:xfrm>
                      <a:off x="0" y="0"/>
                      <a:ext cx="4754880" cy="4343964"/>
                    </a:xfrm>
                    <a:prstGeom prst="rect"/>
                  </pic:spPr>
                </pic:pic>
              </a:graphicData>
            </a:graphic>
          </wp:inline>
        </w:drawing>
      </w:r>
    </w:p>
    <w:p>
      <w:pPr>
        <w:spacing w:before="0" w:after="120" w:lineRule="auto" w:line="240"/>
        <w:jc w:val="center"/>
      </w:pPr>
      <w:r>
        <w:rPr>
          <w:rFonts w:ascii="Calibri" w:hAnsi="Calibri"/>
          <w:i/>
          <w:color w:val="555555"/>
          <w:sz w:val="18"/>
        </w:rPr>
        <w:t>Figure 3: Correlation heatmap of key features</w:t>
      </w:r>
    </w:p>
    <w:p>
      <w:pPr>
        <w:spacing w:before="120" w:after="120" w:lineRule="auto" w:line="264"/>
        <w:jc w:val="left"/>
      </w:pPr>
      <w:r>
        <w:rPr>
          <w:rFonts w:ascii="Calibri" w:hAnsi="Calibri"/>
          <w:sz w:val="22"/>
        </w:rPr>
        <w:t>A notable finding: the DAYS_EMPLOYED artifact (365,243 days) is not random noise but a deliberate encoding for unemployed borrowers. These applicants have a significantly lower default rate (5.40%) than employed applicants (8.66%), likely because unemployed borrowers in this dataset represent a conservative selection — they were approved despite unemployment, suggesting compensating strengths elsewhere in their application.</w:t>
      </w:r>
    </w:p>
    <w:p>
      <w:r>
        <w:br w:type="page"/>
      </w:r>
    </w:p>
    <w:p>
      <w:pPr>
        <w:pStyle w:val="Heading1"/>
      </w:pPr>
      <w:r>
        <w:t>4. Feature Engineering</w:t>
      </w:r>
    </w:p>
    <w:p>
      <w:pPr>
        <w:pStyle w:val="Heading2"/>
      </w:pPr>
      <w:r>
        <w:t>4.1 Strategy Overview</w:t>
      </w:r>
    </w:p>
    <w:p>
      <w:pPr>
        <w:spacing w:before="0" w:after="120" w:lineRule="auto" w:line="264"/>
        <w:jc w:val="left"/>
      </w:pPr>
      <w:r>
        <w:rPr>
          <w:rFonts w:ascii="Calibri" w:hAnsi="Calibri"/>
          <w:sz w:val="22"/>
        </w:rPr>
        <w:t>The feature engineering pipeline transformed 122 raw columns into 182 predictive features through a systematic process of cleaning, domain-specific feature creation, encoding, scaling, and interaction generation. The pipeline is designed to be reproducible and applicable to new applicant data.</w:t>
      </w:r>
    </w:p>
    <w:p>
      <w:pPr>
        <w:pStyle w:val="Heading2"/>
      </w:pPr>
      <w:r>
        <w:t>4.2 Domain-Specific Feature Creation</w:t>
      </w:r>
    </w:p>
    <w:p>
      <w:pPr>
        <w:spacing w:before="0" w:after="120" w:lineRule="auto" w:line="264"/>
        <w:jc w:val="left"/>
      </w:pPr>
      <w:r>
        <w:rPr>
          <w:rFonts w:ascii="Calibri" w:hAnsi="Calibri"/>
          <w:sz w:val="22"/>
        </w:rPr>
        <w:t>Key engineered features include:</w:t>
      </w:r>
    </w:p>
    <w:tbl>
      <w:tblPr>
        <w:tblW w:type="dxa" w:w="9360"/>
        <w:jc w:val="left"/>
        <w:tblLayout w:type="fixed"/>
        <w:tblLook w:firstColumn="1" w:firstRow="1" w:lastColumn="0" w:lastRow="0" w:noHBand="0" w:noVBand="1" w:val="04A0"/>
        <w:tblInd w:type="dxa" w:w="120"/>
      </w:tblPr>
      <w:tblGrid>
        <w:gridCol w:w="2200"/>
        <w:gridCol w:w="3600"/>
        <w:gridCol w:w="3560"/>
      </w:tblGrid>
      <w:tr>
        <w:trPr/>
        <w:tc>
          <w:tcPr>
            <w:tcW w:type="dxa" w:w="2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Feature</w:t>
            </w:r>
          </w:p>
        </w:tc>
        <w:tc>
          <w:tcPr>
            <w:tcW w:type="dxa" w:w="3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Formula</w:t>
            </w:r>
          </w:p>
        </w:tc>
        <w:tc>
          <w:tcPr>
            <w:tcW w:type="dxa" w:w="35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Business Logic</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Debt-to-Income (DTI)</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AMT_ANNUITY / AMT_INCOME_TOTAL</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Measures affordability of monthly payments</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Loan-to-Income (LTI)</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AMT_CREDIT / AMT_INCOME_TOTAL</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Total leverage relative to income</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ANNUITY_RATE</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AMT_ANNUITY / AMT_CREDIT</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Payment intensity — median 0.05</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Income Per Capita</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AMT_INCOME_TOTAL / CNT_FAM_MEMBERS</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Household-level income proxy</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EXT_MEAN</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Mean of EXT_SOURCE_1/2/3</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Composite external creditworthiness score</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EXT_MIN, EXT_STD</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Min and std of external sources</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Consistency across credit bureau reports</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AGE_YEARS</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Converted DAYS_BIRTH</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Interpretable age in years</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EMP_LENGTH_YEARS</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Converted DAYS_EMPLOYED</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Employment duration signal</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IS_UNEMPLOYED</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DAYS_EMPLOYED == 365,243</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Binary flag for unemployed applicants</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CAR_AGE</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OWN_CAR_AGE</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Vehicle age as stability proxy</w:t>
            </w:r>
          </w:p>
        </w:tc>
      </w:tr>
    </w:tbl>
    <w:p>
      <w:pPr>
        <w:spacing w:before="80" w:after="80" w:lineRule="auto" w:line="264"/>
        <w:jc w:val="left"/>
      </w:pPr>
      <w:r>
        <w:rPr>
          <w:rFonts w:ascii="Calibri" w:hAnsi="Calibri"/>
          <w:i/>
          <w:color w:val="555555"/>
          <w:sz w:val="18"/>
        </w:rPr>
        <w:t>Table 4: Key engineered domain features</w:t>
      </w:r>
    </w:p>
    <w:p>
      <w:pPr>
        <w:pStyle w:val="Heading2"/>
      </w:pPr>
      <w:r>
        <w:t>4.3 Encoding &amp; Imputation</w:t>
      </w:r>
    </w:p>
    <w:p>
      <w:pPr>
        <w:spacing w:before="0" w:after="120" w:lineRule="auto" w:line="264"/>
        <w:jc w:val="left"/>
      </w:pPr>
      <w:r>
        <w:rPr>
          <w:rFonts w:ascii="Calibri" w:hAnsi="Calibri"/>
          <w:b/>
          <w:sz w:val="22"/>
        </w:rPr>
        <w:t>Categorical Encoding:</w:t>
      </w:r>
    </w:p>
    <w:p>
      <w:pPr>
        <w:pStyle w:val="ListBullet"/>
        <w:spacing w:before="0" w:after="160" w:lineRule="auto" w:line="280"/>
      </w:pPr>
      <w:r>
        <w:rPr>
          <w:rFonts w:ascii="Calibri" w:hAnsi="Calibri"/>
          <w:sz w:val="22"/>
        </w:rPr>
        <w:t>High-cardinality features (e.g., ORGANIZATION_TYPE, OCCUPATION_TYPE, NAME_INCOME_TYPE): frequency encoding</w:t>
      </w:r>
    </w:p>
    <w:p>
      <w:pPr>
        <w:pStyle w:val="ListBullet"/>
        <w:spacing w:before="0" w:after="160" w:lineRule="auto" w:line="280"/>
      </w:pPr>
      <w:r>
        <w:rPr>
          <w:rFonts w:ascii="Calibri" w:hAnsi="Calibri"/>
          <w:sz w:val="22"/>
        </w:rPr>
        <w:t>Low-cardinality nominal features: one-hot encoding</w:t>
      </w:r>
    </w:p>
    <w:p>
      <w:pPr>
        <w:pStyle w:val="ListBullet"/>
        <w:spacing w:before="0" w:after="160" w:lineRule="auto" w:line="280"/>
      </w:pPr>
      <w:r>
        <w:rPr>
          <w:rFonts w:ascii="Calibri" w:hAnsi="Calibri"/>
          <w:sz w:val="22"/>
        </w:rPr>
        <w:t>Ordered features (education level, family status): ordinal encoding</w:t>
      </w:r>
    </w:p>
    <w:p>
      <w:pPr>
        <w:spacing w:before="0" w:after="120" w:lineRule="auto" w:line="264"/>
        <w:jc w:val="left"/>
      </w:pPr>
      <w:r>
        <w:rPr>
          <w:rFonts w:ascii="Calibri" w:hAnsi="Calibri"/>
          <w:b/>
          <w:sz w:val="22"/>
        </w:rPr>
        <w:t>Missing Value Strategy:</w:t>
      </w:r>
    </w:p>
    <w:p>
      <w:pPr>
        <w:pStyle w:val="ListBullet"/>
        <w:spacing w:before="0" w:after="160" w:lineRule="auto" w:line="280"/>
      </w:pPr>
      <w:r>
        <w:rPr>
          <w:rFonts w:ascii="Calibri" w:hAnsi="Calibri"/>
          <w:sz w:val="22"/>
        </w:rPr>
        <w:t>62 missing-indicator flags created for high-missingness features</w:t>
      </w:r>
    </w:p>
    <w:p>
      <w:pPr>
        <w:pStyle w:val="ListBullet"/>
        <w:spacing w:before="0" w:after="160" w:lineRule="auto" w:line="280"/>
      </w:pPr>
      <w:r>
        <w:rPr>
          <w:rFonts w:ascii="Calibri" w:hAnsi="Calibri"/>
          <w:sz w:val="22"/>
        </w:rPr>
        <w:t>Numeric features: median imputation (robust to outliers)</w:t>
      </w:r>
    </w:p>
    <w:p>
      <w:pPr>
        <w:pStyle w:val="ListBullet"/>
        <w:spacing w:before="0" w:after="160" w:lineRule="auto" w:line="280"/>
      </w:pPr>
      <w:r>
        <w:rPr>
          <w:rFonts w:ascii="Calibri" w:hAnsi="Calibri"/>
          <w:sz w:val="22"/>
        </w:rPr>
        <w:t>Categorical features: mode imputation</w:t>
      </w:r>
    </w:p>
    <w:p>
      <w:pPr>
        <w:pStyle w:val="Heading2"/>
      </w:pPr>
      <w:r>
        <w:t>4.4 Scaling &amp; Outlier Treatment</w:t>
      </w:r>
    </w:p>
    <w:p>
      <w:pPr>
        <w:pStyle w:val="ListBullet"/>
        <w:spacing w:before="0" w:after="160" w:lineRule="auto" w:line="280"/>
      </w:pPr>
      <w:r>
        <w:rPr>
          <w:rFonts w:ascii="Calibri" w:hAnsi="Calibri"/>
          <w:sz w:val="22"/>
        </w:rPr>
        <w:t>Numeric features scaled with RobustScaler (median/IQR-based, outlier-resistant)</w:t>
      </w:r>
    </w:p>
    <w:p>
      <w:pPr>
        <w:pStyle w:val="ListBullet"/>
        <w:spacing w:before="0" w:after="160" w:lineRule="auto" w:line="280"/>
      </w:pPr>
      <w:r>
        <w:rPr>
          <w:rFonts w:ascii="Calibri" w:hAnsi="Calibri"/>
          <w:sz w:val="22"/>
        </w:rPr>
        <w:t>AMT_INCOME_TOTAL capped at [P0.1, P99.9] = [$26,100, $900,000]</w:t>
      </w:r>
    </w:p>
    <w:p>
      <w:pPr>
        <w:pStyle w:val="ListBullet"/>
        <w:spacing w:before="0" w:after="160" w:lineRule="auto" w:line="280"/>
      </w:pPr>
      <w:r>
        <w:rPr>
          <w:rFonts w:ascii="Calibri" w:hAnsi="Calibri"/>
          <w:sz w:val="22"/>
        </w:rPr>
        <w:t>AMT_CREDIT capped at [P0.1, P99.9] = [$45,000, $2,517,300]</w:t>
      </w:r>
    </w:p>
    <w:p>
      <w:pPr>
        <w:pStyle w:val="ListBullet"/>
        <w:spacing w:before="0" w:after="160" w:lineRule="auto" w:line="280"/>
      </w:pPr>
      <w:r>
        <w:rPr>
          <w:rFonts w:ascii="Calibri" w:hAnsi="Calibri"/>
          <w:sz w:val="22"/>
        </w:rPr>
        <w:t>AMT_ANNUITY capped at [P0.1, P99.9] = [$1,998, $110,048]</w:t>
      </w:r>
    </w:p>
    <w:p>
      <w:pPr>
        <w:pStyle w:val="Heading2"/>
      </w:pPr>
      <w:r>
        <w:t>4.5 Interaction Features</w:t>
      </w:r>
    </w:p>
    <w:p>
      <w:pPr>
        <w:spacing w:before="0" w:after="120" w:lineRule="auto" w:line="264"/>
        <w:jc w:val="left"/>
      </w:pPr>
      <w:r>
        <w:rPr>
          <w:rFonts w:ascii="Calibri" w:hAnsi="Calibri"/>
          <w:sz w:val="22"/>
        </w:rPr>
        <w:t>Five interaction features were created to capture non-linear relationships between risk factors:</w:t>
      </w:r>
    </w:p>
    <w:p>
      <w:pPr>
        <w:pStyle w:val="ListBullet"/>
        <w:spacing w:before="0" w:after="160" w:lineRule="auto" w:line="280"/>
      </w:pPr>
      <w:r>
        <w:rPr>
          <w:rFonts w:ascii="Calibri" w:hAnsi="Calibri"/>
          <w:sz w:val="22"/>
        </w:rPr>
        <w:t>EXT_2x3: EXT_SOURCE_2 * EXT_SOURCE_3 — combined external score effect</w:t>
      </w:r>
    </w:p>
    <w:p>
      <w:pPr>
        <w:pStyle w:val="ListBullet"/>
        <w:spacing w:before="0" w:after="160" w:lineRule="auto" w:line="280"/>
      </w:pPr>
      <w:r>
        <w:rPr>
          <w:rFonts w:ascii="Calibri" w:hAnsi="Calibri"/>
          <w:sz w:val="22"/>
        </w:rPr>
        <w:t>DTI_x_EXT2: DTI * EXT_SOURCE_2 — debt burden moderated by credit quality</w:t>
      </w:r>
    </w:p>
    <w:p>
      <w:pPr>
        <w:pStyle w:val="ListBullet"/>
        <w:spacing w:before="0" w:after="160" w:lineRule="auto" w:line="280"/>
      </w:pPr>
      <w:r>
        <w:rPr>
          <w:rFonts w:ascii="Calibri" w:hAnsi="Calibri"/>
          <w:sz w:val="22"/>
        </w:rPr>
        <w:t>AGE_INCOME: Age-years * income — life-stage adjusted earning power</w:t>
      </w:r>
    </w:p>
    <w:p>
      <w:pPr>
        <w:pStyle w:val="ListBullet"/>
        <w:spacing w:before="0" w:after="160" w:lineRule="auto" w:line="280"/>
      </w:pPr>
      <w:r>
        <w:rPr>
          <w:rFonts w:ascii="Calibri" w:hAnsi="Calibri"/>
          <w:sz w:val="22"/>
        </w:rPr>
        <w:t>LTI_x_EXT2: LTI * EXT_SOURCE_2 — leverage moderated by credit quality</w:t>
      </w:r>
    </w:p>
    <w:p>
      <w:pPr>
        <w:pStyle w:val="ListBullet"/>
        <w:spacing w:before="0" w:after="160" w:lineRule="auto" w:line="280"/>
      </w:pPr>
      <w:r>
        <w:rPr>
          <w:rFonts w:ascii="Calibri" w:hAnsi="Calibri"/>
          <w:sz w:val="22"/>
        </w:rPr>
        <w:t>CAREER_INDEX: Age-years * employment length — career trajectory signal</w:t>
      </w:r>
    </w:p>
    <w:p>
      <w:pPr>
        <w:pStyle w:val="Heading2"/>
      </w:pPr>
      <w:r>
        <w:t>4.6 Final Feature Set</w:t>
      </w:r>
    </w:p>
    <w:p>
      <w:pPr>
        <w:spacing w:before="0" w:after="120" w:lineRule="auto" w:line="264"/>
        <w:jc w:val="left"/>
      </w:pPr>
      <w:r>
        <w:rPr>
          <w:rFonts w:ascii="Calibri" w:hAnsi="Calibri"/>
          <w:sz w:val="22"/>
        </w:rPr>
        <w:t>The final feature matrix contains 182 columns (including applicant ID) with zero remaining NaN values after imputation. The feature set is complete and ready for modeling.</w:t>
      </w:r>
    </w:p>
    <w:p>
      <w:r>
        <w:br w:type="page"/>
      </w:r>
    </w:p>
    <w:p>
      <w:pPr>
        <w:pStyle w:val="Heading1"/>
      </w:pPr>
      <w:r>
        <w:t>5. Model Development</w:t>
      </w:r>
    </w:p>
    <w:p>
      <w:pPr>
        <w:pStyle w:val="Heading2"/>
      </w:pPr>
      <w:r>
        <w:t>5.1 Modeling Strategy</w:t>
      </w:r>
    </w:p>
    <w:p>
      <w:pPr>
        <w:spacing w:before="0" w:after="120" w:lineRule="auto" w:line="264"/>
        <w:jc w:val="left"/>
      </w:pPr>
      <w:r>
        <w:rPr>
          <w:rFonts w:ascii="Calibri" w:hAnsi="Calibri"/>
          <w:sz w:val="22"/>
        </w:rPr>
        <w:t>We trained five candidate models spanning the complexity spectrum, from interpretable linear models to state-of-the-art gradient boosting:</w:t>
      </w:r>
    </w:p>
    <w:p>
      <w:pPr>
        <w:pStyle w:val="ListBullet"/>
        <w:spacing w:before="0" w:after="160" w:lineRule="auto" w:line="280"/>
      </w:pPr>
      <w:r>
        <w:rPr>
          <w:rFonts w:ascii="Calibri" w:hAnsi="Calibri"/>
          <w:sz w:val="22"/>
        </w:rPr>
        <w:t>Logistic Regression — interpretable baseline, industry-standard for credit scoring</w:t>
      </w:r>
    </w:p>
    <w:p>
      <w:pPr>
        <w:pStyle w:val="ListBullet"/>
        <w:spacing w:before="0" w:after="160" w:lineRule="auto" w:line="280"/>
      </w:pPr>
      <w:r>
        <w:rPr>
          <w:rFonts w:ascii="Calibri" w:hAnsi="Calibri"/>
          <w:sz w:val="22"/>
        </w:rPr>
        <w:t>Decision Tree — transparent rule-based model</w:t>
      </w:r>
    </w:p>
    <w:p>
      <w:pPr>
        <w:pStyle w:val="ListBullet"/>
        <w:spacing w:before="0" w:after="160" w:lineRule="auto" w:line="280"/>
      </w:pPr>
      <w:r>
        <w:rPr>
          <w:rFonts w:ascii="Calibri" w:hAnsi="Calibri"/>
          <w:sz w:val="22"/>
        </w:rPr>
        <w:t>Random Forest — ensemble of trees, robust to non-linearity</w:t>
      </w:r>
    </w:p>
    <w:p>
      <w:pPr>
        <w:pStyle w:val="ListBullet"/>
        <w:spacing w:before="0" w:after="160" w:lineRule="auto" w:line="280"/>
      </w:pPr>
      <w:r>
        <w:rPr>
          <w:rFonts w:ascii="Calibri" w:hAnsi="Calibri"/>
          <w:sz w:val="22"/>
        </w:rPr>
        <w:t>XGBoost — optimized gradient boosting with regularization</w:t>
      </w:r>
    </w:p>
    <w:p>
      <w:pPr>
        <w:pStyle w:val="ListBullet"/>
        <w:spacing w:before="0" w:after="160" w:lineRule="auto" w:line="280"/>
      </w:pPr>
      <w:r>
        <w:rPr>
          <w:rFonts w:ascii="Calibri" w:hAnsi="Calibri"/>
          <w:sz w:val="22"/>
        </w:rPr>
        <w:t>LightGBM — efficient leaf-wise gradient boosting with native categorical support</w:t>
      </w:r>
    </w:p>
    <w:p>
      <w:pPr>
        <w:pStyle w:val="Heading2"/>
      </w:pPr>
      <w:r>
        <w:t>5.2 Train/Validation/Test Split</w:t>
      </w:r>
    </w:p>
    <w:p>
      <w:pPr>
        <w:spacing w:before="0" w:after="120" w:lineRule="auto" w:line="264"/>
        <w:jc w:val="left"/>
      </w:pPr>
      <w:r>
        <w:rPr>
          <w:rFonts w:ascii="Calibri" w:hAnsi="Calibri"/>
          <w:sz w:val="22"/>
        </w:rPr>
        <w:t>A stratified 80/16/20 split was used to preserve class balance across all partitions:</w:t>
      </w:r>
    </w:p>
    <w:tbl>
      <w:tblPr>
        <w:tblW w:type="dxa" w:w="9360"/>
        <w:jc w:val="left"/>
        <w:tblLayout w:type="fixed"/>
        <w:tblLook w:firstColumn="1" w:firstRow="1" w:lastColumn="0" w:lastRow="0" w:noHBand="0" w:noVBand="1" w:val="04A0"/>
        <w:tblInd w:type="dxa" w:w="120"/>
      </w:tblPr>
      <w:tblGrid>
        <w:gridCol w:w="2000"/>
        <w:gridCol w:w="2000"/>
        <w:gridCol w:w="3360"/>
        <w:gridCol w:w="2000"/>
      </w:tblGrid>
      <w:tr>
        <w:trPr/>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Partition</w:t>
            </w:r>
          </w:p>
        </w:tc>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Applicants</w:t>
            </w:r>
          </w:p>
        </w:tc>
        <w:tc>
          <w:tcPr>
            <w:tcW w:type="dxa" w:w="3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Description</w:t>
            </w:r>
          </w:p>
        </w:tc>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Default Rate</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Training</w:t>
            </w:r>
          </w:p>
        </w:tc>
        <w:tc>
          <w:tcPr>
            <w:tcW w:type="dxa" w:w="2000"/>
            <w:vAlign w:val="center"/>
            <w:tcMar>
              <w:top w:w="80" w:type="dxa"/>
              <w:bottom w:w="80" w:type="dxa"/>
              <w:start w:w="120" w:type="dxa"/>
              <w:end w:w="120" w:type="dxa"/>
            </w:tcMar>
          </w:tcPr>
          <w:p>
            <w:pPr>
              <w:spacing w:before="40" w:after="40" w:lineRule="auto" w:line="240"/>
              <w:jc w:val="left"/>
            </w:pPr>
            <w:r/>
            <w:r>
              <w:rPr>
                <w:rFonts w:ascii="Calibri" w:hAnsi="Calibri"/>
                <w:sz w:val="19"/>
              </w:rPr>
              <w:t>246,008</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80% of total</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8.07%</w:t>
            </w:r>
          </w:p>
        </w:tc>
      </w:tr>
      <w:tr>
        <w:trPr/>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Validation</w:t>
            </w:r>
          </w:p>
        </w:tc>
        <w:tc>
          <w:tcPr>
            <w:tcW w:type="dxa" w:w="20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49,503</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20% of training (16% of total)</w:t>
            </w:r>
          </w:p>
        </w:tc>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8.07%</w:t>
            </w:r>
          </w:p>
        </w:tc>
      </w:tr>
      <w:tr>
        <w:trPr/>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Test (Holdout)</w:t>
            </w:r>
          </w:p>
        </w:tc>
        <w:tc>
          <w:tcPr>
            <w:tcW w:type="dxa" w:w="2000"/>
            <w:vAlign w:val="center"/>
            <w:tcMar>
              <w:top w:w="80" w:type="dxa"/>
              <w:bottom w:w="80" w:type="dxa"/>
              <w:start w:w="120" w:type="dxa"/>
              <w:end w:w="120" w:type="dxa"/>
            </w:tcMar>
          </w:tcPr>
          <w:p>
            <w:pPr>
              <w:spacing w:before="40" w:after="40" w:lineRule="auto" w:line="240"/>
              <w:jc w:val="left"/>
            </w:pPr>
            <w:r/>
            <w:r>
              <w:rPr>
                <w:rFonts w:ascii="Calibri" w:hAnsi="Calibri"/>
                <w:sz w:val="19"/>
              </w:rPr>
              <w:t>61,503</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20% of total</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8.07%</w:t>
            </w:r>
          </w:p>
        </w:tc>
      </w:tr>
    </w:tbl>
    <w:p>
      <w:pPr>
        <w:spacing w:before="80" w:after="80" w:lineRule="auto" w:line="264"/>
        <w:jc w:val="left"/>
      </w:pPr>
      <w:r>
        <w:rPr>
          <w:rFonts w:ascii="Calibri" w:hAnsi="Calibri"/>
          <w:i/>
          <w:color w:val="555555"/>
          <w:sz w:val="18"/>
        </w:rPr>
        <w:t>Table 5: Data split summary</w:t>
      </w:r>
    </w:p>
    <w:p>
      <w:pPr>
        <w:pStyle w:val="Heading2"/>
      </w:pPr>
      <w:r>
        <w:t>5.3 Model Training</w:t>
      </w:r>
    </w:p>
    <w:p>
      <w:pPr>
        <w:spacing w:before="0" w:after="120" w:lineRule="auto" w:line="264"/>
        <w:jc w:val="left"/>
      </w:pPr>
      <w:r>
        <w:rPr>
          <w:rFonts w:ascii="Calibri" w:hAnsi="Calibri"/>
          <w:sz w:val="22"/>
        </w:rPr>
        <w:t>Each model was trained with default hyperparameters appropriate to its architecture, using class weights to address the 8% imbalance. For LightGBM, early stopping with 50-round patience was applied on the validation AUC, with early stopping occurring at iteration 326.</w:t>
      </w:r>
    </w:p>
    <w:p>
      <w:pPr>
        <w:pStyle w:val="Heading2"/>
      </w:pPr>
      <w:r>
        <w:t>5.4 Model Selection &amp; Leaderboard</w:t>
      </w:r>
    </w:p>
    <w:tbl>
      <w:tblPr>
        <w:tblW w:type="dxa" w:w="9360"/>
        <w:jc w:val="left"/>
        <w:tblLayout w:type="fixed"/>
        <w:tblLook w:firstColumn="1" w:firstRow="1" w:lastColumn="0" w:lastRow="0" w:noHBand="0" w:noVBand="1" w:val="04A0"/>
        <w:tblInd w:type="dxa" w:w="120"/>
      </w:tblPr>
      <w:tblGrid>
        <w:gridCol w:w="2400"/>
        <w:gridCol w:w="1400"/>
        <w:gridCol w:w="1600"/>
        <w:gridCol w:w="1400"/>
        <w:gridCol w:w="1200"/>
        <w:gridCol w:w="1360"/>
      </w:tblGrid>
      <w:tr>
        <w:trPr/>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Model</w:t>
            </w:r>
          </w:p>
        </w:tc>
        <w:tc>
          <w:tcPr>
            <w:tcW w:type="dxa" w:w="1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AUC</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Avg Precision</w:t>
            </w:r>
          </w:p>
        </w:tc>
        <w:tc>
          <w:tcPr>
            <w:tcW w:type="dxa" w:w="1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Precision</w:t>
            </w:r>
          </w:p>
        </w:tc>
        <w:tc>
          <w:tcPr>
            <w:tcW w:type="dxa" w:w="1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Recall</w:t>
            </w:r>
          </w:p>
        </w:tc>
        <w:tc>
          <w:tcPr>
            <w:tcW w:type="dxa" w:w="1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F1</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LightGBM</w:t>
            </w:r>
          </w:p>
        </w:tc>
        <w:tc>
          <w:tcPr>
            <w:tcW w:type="dxa" w:w="1400"/>
            <w:vAlign w:val="center"/>
            <w:tcMar>
              <w:top w:w="80" w:type="dxa"/>
              <w:bottom w:w="80" w:type="dxa"/>
              <w:start w:w="120" w:type="dxa"/>
              <w:end w:w="120" w:type="dxa"/>
            </w:tcMar>
          </w:tcPr>
          <w:p>
            <w:pPr>
              <w:spacing w:before="40" w:after="40" w:lineRule="auto" w:line="240"/>
              <w:jc w:val="left"/>
            </w:pPr>
            <w:r/>
            <w:r>
              <w:rPr>
                <w:rFonts w:ascii="Calibri" w:hAnsi="Calibri"/>
                <w:sz w:val="19"/>
              </w:rPr>
              <w:t>0.7680</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0.258</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0.176</w:t>
            </w:r>
          </w:p>
        </w:tc>
        <w:tc>
          <w:tcPr>
            <w:tcW w:type="dxa" w:w="1200"/>
            <w:vAlign w:val="center"/>
            <w:tcMar>
              <w:top w:w="80" w:type="dxa"/>
              <w:bottom w:w="80" w:type="dxa"/>
              <w:start w:w="120" w:type="dxa"/>
              <w:end w:w="120" w:type="dxa"/>
            </w:tcMar>
          </w:tcPr>
          <w:p>
            <w:pPr>
              <w:spacing w:before="40" w:after="40" w:lineRule="auto" w:line="240"/>
              <w:jc w:val="center"/>
            </w:pPr>
            <w:r/>
            <w:r>
              <w:rPr>
                <w:rFonts w:ascii="Calibri" w:hAnsi="Calibri"/>
                <w:sz w:val="19"/>
              </w:rPr>
              <w:t>0.676</w:t>
            </w:r>
          </w:p>
        </w:tc>
        <w:tc>
          <w:tcPr>
            <w:tcW w:type="dxa" w:w="1360"/>
            <w:vAlign w:val="center"/>
            <w:tcMar>
              <w:top w:w="80" w:type="dxa"/>
              <w:bottom w:w="80" w:type="dxa"/>
              <w:start w:w="120" w:type="dxa"/>
              <w:end w:w="120" w:type="dxa"/>
            </w:tcMar>
          </w:tcPr>
          <w:p>
            <w:pPr>
              <w:spacing w:before="40" w:after="40" w:lineRule="auto" w:line="240"/>
              <w:jc w:val="center"/>
            </w:pPr>
            <w:r/>
            <w:r>
              <w:rPr>
                <w:rFonts w:ascii="Calibri" w:hAnsi="Calibri"/>
                <w:sz w:val="19"/>
              </w:rPr>
              <w:t>0.279</w:t>
            </w:r>
          </w:p>
        </w:tc>
      </w:tr>
      <w:tr>
        <w:trPr/>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XGBoost</w:t>
            </w:r>
          </w:p>
        </w:tc>
        <w:tc>
          <w:tcPr>
            <w:tcW w:type="dxa" w:w="1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0.7668</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0.256</w:t>
            </w:r>
          </w:p>
        </w:tc>
        <w:tc>
          <w:tcPr>
            <w:tcW w:type="dxa" w:w="1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0.181</w:t>
            </w:r>
          </w:p>
        </w:tc>
        <w:tc>
          <w:tcPr>
            <w:tcW w:type="dxa" w:w="1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0.651</w:t>
            </w:r>
          </w:p>
        </w:tc>
        <w:tc>
          <w:tcPr>
            <w:tcW w:type="dxa" w:w="1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0.283</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Logistic Regression</w:t>
            </w:r>
          </w:p>
        </w:tc>
        <w:tc>
          <w:tcPr>
            <w:tcW w:type="dxa" w:w="1400"/>
            <w:vAlign w:val="center"/>
            <w:tcMar>
              <w:top w:w="80" w:type="dxa"/>
              <w:bottom w:w="80" w:type="dxa"/>
              <w:start w:w="120" w:type="dxa"/>
              <w:end w:w="120" w:type="dxa"/>
            </w:tcMar>
          </w:tcPr>
          <w:p>
            <w:pPr>
              <w:spacing w:before="40" w:after="40" w:lineRule="auto" w:line="240"/>
              <w:jc w:val="left"/>
            </w:pPr>
            <w:r/>
            <w:r>
              <w:rPr>
                <w:rFonts w:ascii="Calibri" w:hAnsi="Calibri"/>
                <w:sz w:val="19"/>
              </w:rPr>
              <w:t>0.7483</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0.236</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0.159</w:t>
            </w:r>
          </w:p>
        </w:tc>
        <w:tc>
          <w:tcPr>
            <w:tcW w:type="dxa" w:w="1200"/>
            <w:vAlign w:val="center"/>
            <w:tcMar>
              <w:top w:w="80" w:type="dxa"/>
              <w:bottom w:w="80" w:type="dxa"/>
              <w:start w:w="120" w:type="dxa"/>
              <w:end w:w="120" w:type="dxa"/>
            </w:tcMar>
          </w:tcPr>
          <w:p>
            <w:pPr>
              <w:spacing w:before="40" w:after="40" w:lineRule="auto" w:line="240"/>
              <w:jc w:val="center"/>
            </w:pPr>
            <w:r/>
            <w:r>
              <w:rPr>
                <w:rFonts w:ascii="Calibri" w:hAnsi="Calibri"/>
                <w:sz w:val="19"/>
              </w:rPr>
              <w:t>0.677</w:t>
            </w:r>
          </w:p>
        </w:tc>
        <w:tc>
          <w:tcPr>
            <w:tcW w:type="dxa" w:w="1360"/>
            <w:vAlign w:val="center"/>
            <w:tcMar>
              <w:top w:w="80" w:type="dxa"/>
              <w:bottom w:w="80" w:type="dxa"/>
              <w:start w:w="120" w:type="dxa"/>
              <w:end w:w="120" w:type="dxa"/>
            </w:tcMar>
          </w:tcPr>
          <w:p>
            <w:pPr>
              <w:spacing w:before="40" w:after="40" w:lineRule="auto" w:line="240"/>
              <w:jc w:val="center"/>
            </w:pPr>
            <w:r/>
            <w:r>
              <w:rPr>
                <w:rFonts w:ascii="Calibri" w:hAnsi="Calibri"/>
                <w:sz w:val="19"/>
              </w:rPr>
              <w:t>0.258</w:t>
            </w:r>
          </w:p>
        </w:tc>
      </w:tr>
      <w:tr>
        <w:trPr/>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Random Forest</w:t>
            </w:r>
          </w:p>
        </w:tc>
        <w:tc>
          <w:tcPr>
            <w:tcW w:type="dxa" w:w="1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0.7464</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0.227</w:t>
            </w:r>
          </w:p>
        </w:tc>
        <w:tc>
          <w:tcPr>
            <w:tcW w:type="dxa" w:w="1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0.183</w:t>
            </w:r>
          </w:p>
        </w:tc>
        <w:tc>
          <w:tcPr>
            <w:tcW w:type="dxa" w:w="1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0.590</w:t>
            </w:r>
          </w:p>
        </w:tc>
        <w:tc>
          <w:tcPr>
            <w:tcW w:type="dxa" w:w="1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0.279</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Decision Tree</w:t>
            </w:r>
          </w:p>
        </w:tc>
        <w:tc>
          <w:tcPr>
            <w:tcW w:type="dxa" w:w="1400"/>
            <w:vAlign w:val="center"/>
            <w:tcMar>
              <w:top w:w="80" w:type="dxa"/>
              <w:bottom w:w="80" w:type="dxa"/>
              <w:start w:w="120" w:type="dxa"/>
              <w:end w:w="120" w:type="dxa"/>
            </w:tcMar>
          </w:tcPr>
          <w:p>
            <w:pPr>
              <w:spacing w:before="40" w:after="40" w:lineRule="auto" w:line="240"/>
              <w:jc w:val="left"/>
            </w:pPr>
            <w:r/>
            <w:r>
              <w:rPr>
                <w:rFonts w:ascii="Calibri" w:hAnsi="Calibri"/>
                <w:sz w:val="19"/>
              </w:rPr>
              <w:t>0.7231</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0.202</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0.145</w:t>
            </w:r>
          </w:p>
        </w:tc>
        <w:tc>
          <w:tcPr>
            <w:tcW w:type="dxa" w:w="1200"/>
            <w:vAlign w:val="center"/>
            <w:tcMar>
              <w:top w:w="80" w:type="dxa"/>
              <w:bottom w:w="80" w:type="dxa"/>
              <w:start w:w="120" w:type="dxa"/>
              <w:end w:w="120" w:type="dxa"/>
            </w:tcMar>
          </w:tcPr>
          <w:p>
            <w:pPr>
              <w:spacing w:before="40" w:after="40" w:lineRule="auto" w:line="240"/>
              <w:jc w:val="center"/>
            </w:pPr>
            <w:r/>
            <w:r>
              <w:rPr>
                <w:rFonts w:ascii="Calibri" w:hAnsi="Calibri"/>
                <w:sz w:val="19"/>
              </w:rPr>
              <w:t>0.678</w:t>
            </w:r>
          </w:p>
        </w:tc>
        <w:tc>
          <w:tcPr>
            <w:tcW w:type="dxa" w:w="1360"/>
            <w:vAlign w:val="center"/>
            <w:tcMar>
              <w:top w:w="80" w:type="dxa"/>
              <w:bottom w:w="80" w:type="dxa"/>
              <w:start w:w="120" w:type="dxa"/>
              <w:end w:w="120" w:type="dxa"/>
            </w:tcMar>
          </w:tcPr>
          <w:p>
            <w:pPr>
              <w:spacing w:before="40" w:after="40" w:lineRule="auto" w:line="240"/>
              <w:jc w:val="center"/>
            </w:pPr>
            <w:r/>
            <w:r>
              <w:rPr>
                <w:rFonts w:ascii="Calibri" w:hAnsi="Calibri"/>
                <w:sz w:val="19"/>
              </w:rPr>
              <w:t>0.239</w:t>
            </w:r>
          </w:p>
        </w:tc>
      </w:tr>
    </w:tbl>
    <w:p>
      <w:pPr>
        <w:spacing w:before="80" w:after="80" w:lineRule="auto" w:line="264"/>
        <w:jc w:val="left"/>
      </w:pPr>
      <w:r>
        <w:rPr>
          <w:rFonts w:ascii="Calibri" w:hAnsi="Calibri"/>
          <w:i/>
          <w:color w:val="555555"/>
          <w:sz w:val="18"/>
        </w:rPr>
        <w:t>Table 6: Model leaderboard — test set performance comparison</w:t>
      </w:r>
    </w:p>
    <w:p>
      <w:pPr>
        <w:spacing w:before="0" w:after="120" w:lineRule="auto" w:line="264"/>
        <w:jc w:val="left"/>
      </w:pPr>
      <w:r>
        <w:rPr>
          <w:rFonts w:ascii="Calibri" w:hAnsi="Calibri"/>
          <w:sz w:val="22"/>
        </w:rPr>
        <w:t>LightGBM was selected as the best model based on its highest AUC (0.7680) and average precision (0.258). It achieved early stopping at 326 rounds with validation AUC convergence, indicating good generalization without overfitting. The margin over XGBoost is narrow (0.0012 AUC), suggesting either algorithm would perform well in production.</w:t>
      </w:r>
    </w:p>
    <w:p>
      <w:pPr>
        <w:pStyle w:val="Heading2"/>
      </w:pPr>
      <w:r>
        <w:t>5.5 Threshold Optimization</w:t>
      </w:r>
    </w:p>
    <w:p>
      <w:pPr>
        <w:spacing w:before="0" w:after="120" w:lineRule="auto" w:line="264"/>
        <w:jc w:val="left"/>
      </w:pPr>
      <w:r>
        <w:rPr>
          <w:rFonts w:ascii="Calibri" w:hAnsi="Calibri"/>
          <w:sz w:val="22"/>
        </w:rPr>
        <w:t>The decision threshold was optimized using the F2 score, which weights recall twice as heavily as precision — appropriate for credit risk where missing a default (false negative) is more costly than flagging a repaying borrower (false positive). The optimal threshold is 0.485.</w:t>
      </w:r>
    </w:p>
    <w:p>
      <w:pPr>
        <w:pStyle w:val="ListBullet"/>
        <w:spacing w:before="0" w:after="160" w:lineRule="auto" w:line="280"/>
      </w:pPr>
      <w:r>
        <w:rPr>
          <w:rFonts w:ascii="Calibri" w:hAnsi="Calibri"/>
          <w:sz w:val="22"/>
        </w:rPr>
        <w:t>At threshold 0.485: Precision = 0.171, Recall = 0.697</w:t>
      </w:r>
    </w:p>
    <w:p>
      <w:pPr>
        <w:pStyle w:val="ListBullet"/>
        <w:spacing w:before="0" w:after="160" w:lineRule="auto" w:line="280"/>
      </w:pPr>
      <w:r>
        <w:rPr>
          <w:rFonts w:ascii="Calibri" w:hAnsi="Calibri"/>
          <w:sz w:val="22"/>
        </w:rPr>
        <w:t>True Positives: 3,461 defaults correctly identified</w:t>
      </w:r>
    </w:p>
    <w:p>
      <w:pPr>
        <w:pStyle w:val="ListBullet"/>
        <w:spacing w:before="0" w:after="160" w:lineRule="auto" w:line="280"/>
      </w:pPr>
      <w:r>
        <w:rPr>
          <w:rFonts w:ascii="Calibri" w:hAnsi="Calibri"/>
          <w:sz w:val="22"/>
        </w:rPr>
        <w:t>False Negatives: 1,504 defaults missed (30.3% of actual defaults)</w:t>
      </w:r>
    </w:p>
    <w:p>
      <w:pPr>
        <w:pStyle w:val="ListBullet"/>
        <w:spacing w:before="0" w:after="160" w:lineRule="auto" w:line="280"/>
      </w:pPr>
      <w:r>
        <w:rPr>
          <w:rFonts w:ascii="Calibri" w:hAnsi="Calibri"/>
          <w:sz w:val="22"/>
        </w:rPr>
        <w:t>False Positives: 16,764 non-defaults flagged for review</w:t>
      </w:r>
    </w:p>
    <w:p>
      <w:pPr>
        <w:spacing w:before="160" w:after="80"/>
        <w:jc w:val="center"/>
      </w:pPr>
      <w:r>
        <w:drawing>
          <wp:inline xmlns:a="http://schemas.openxmlformats.org/drawingml/2006/main" xmlns:pic="http://schemas.openxmlformats.org/drawingml/2006/picture">
            <wp:extent cx="4572000" cy="3645285"/>
            <wp:docPr id="4" name="Picture 4"/>
            <wp:cNvGraphicFramePr>
              <a:graphicFrameLocks noChangeAspect="1"/>
            </wp:cNvGraphicFramePr>
            <a:graphic>
              <a:graphicData uri="http://schemas.openxmlformats.org/drawingml/2006/picture">
                <pic:pic>
                  <pic:nvPicPr>
                    <pic:cNvPr id="0" name="modeling_roc_comparison.png"/>
                    <pic:cNvPicPr/>
                  </pic:nvPicPr>
                  <pic:blipFill>
                    <a:blip r:embed="rId12"/>
                    <a:stretch>
                      <a:fillRect/>
                    </a:stretch>
                  </pic:blipFill>
                  <pic:spPr>
                    <a:xfrm>
                      <a:off x="0" y="0"/>
                      <a:ext cx="4572000" cy="3645285"/>
                    </a:xfrm>
                    <a:prstGeom prst="rect"/>
                  </pic:spPr>
                </pic:pic>
              </a:graphicData>
            </a:graphic>
          </wp:inline>
        </w:drawing>
      </w:r>
    </w:p>
    <w:p>
      <w:pPr>
        <w:spacing w:before="0" w:after="120" w:lineRule="auto" w:line="240"/>
        <w:jc w:val="center"/>
      </w:pPr>
      <w:r>
        <w:rPr>
          <w:rFonts w:ascii="Calibri" w:hAnsi="Calibri"/>
          <w:i/>
          <w:color w:val="555555"/>
          <w:sz w:val="18"/>
        </w:rPr>
        <w:t>Figure 4: ROC curve comparison across all five models</w:t>
      </w:r>
    </w:p>
    <w:p>
      <w:r>
        <w:br w:type="page"/>
      </w:r>
    </w:p>
    <w:p>
      <w:pPr>
        <w:pStyle w:val="Heading1"/>
      </w:pPr>
      <w:r>
        <w:t>6. Model Evaluation</w:t>
      </w:r>
    </w:p>
    <w:p>
      <w:pPr>
        <w:pStyle w:val="Heading2"/>
      </w:pPr>
      <w:r>
        <w:t>6.1 Holdout Test Performance</w:t>
      </w:r>
    </w:p>
    <w:p>
      <w:pPr>
        <w:spacing w:before="0" w:after="120" w:lineRule="auto" w:line="264"/>
        <w:jc w:val="left"/>
      </w:pPr>
      <w:r>
        <w:rPr>
          <w:rFonts w:ascii="Calibri" w:hAnsi="Calibri"/>
          <w:sz w:val="22"/>
        </w:rPr>
        <w:t>The selected LightGBM model was evaluated on the held-out test set of 61,503 applicants that were not used in any training or validation decisions. The results reflect the model's expected performance on unseen applicants.</w:t>
      </w:r>
    </w:p>
    <w:tbl>
      <w:tblPr>
        <w:tblW w:type="dxa" w:w="9360"/>
        <w:jc w:val="left"/>
        <w:tblLayout w:type="fixed"/>
        <w:tblLook w:firstColumn="1" w:firstRow="1" w:lastColumn="0" w:lastRow="0" w:noHBand="0" w:noVBand="1" w:val="04A0"/>
        <w:tblInd w:type="dxa" w:w="120"/>
      </w:tblPr>
      <w:tblGrid>
        <w:gridCol w:w="2400"/>
        <w:gridCol w:w="1600"/>
        <w:gridCol w:w="2400"/>
        <w:gridCol w:w="2960"/>
      </w:tblGrid>
      <w:tr>
        <w:trPr/>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Metric</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Value</w:t>
            </w:r>
          </w:p>
        </w:tc>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Target</w:t>
            </w:r>
          </w:p>
        </w:tc>
        <w:tc>
          <w:tcPr>
            <w:tcW w:type="dxa" w:w="29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Assessment</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AUC-ROC</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0.7680</w:t>
            </w:r>
          </w:p>
        </w:tc>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&gt;= 0.80 (target)</w:t>
            </w:r>
          </w:p>
        </w:tc>
        <w:tc>
          <w:tcPr>
            <w:tcW w:type="dxa" w:w="2960"/>
            <w:vAlign w:val="center"/>
            <w:tcMar>
              <w:top w:w="80" w:type="dxa"/>
              <w:bottom w:w="80" w:type="dxa"/>
              <w:start w:w="120" w:type="dxa"/>
              <w:end w:w="120" w:type="dxa"/>
            </w:tcMar>
          </w:tcPr>
          <w:p>
            <w:pPr>
              <w:spacing w:before="40" w:after="40" w:lineRule="auto" w:line="240"/>
              <w:jc w:val="center"/>
            </w:pPr>
            <w:r/>
            <w:r>
              <w:rPr>
                <w:rFonts w:ascii="Calibri" w:hAnsi="Calibri"/>
                <w:sz w:val="19"/>
              </w:rPr>
              <w:t>Within 4 points</w:t>
            </w:r>
          </w:p>
        </w:tc>
      </w:tr>
      <w:tr>
        <w:trPr/>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Gini Coefficient</w:t>
            </w:r>
          </w:p>
        </w:tc>
        <w:tc>
          <w:tcPr>
            <w:tcW w:type="dxa" w:w="1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0.536</w:t>
            </w:r>
          </w:p>
        </w:tc>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&gt;= 0.60 (target)</w:t>
            </w:r>
          </w:p>
        </w:tc>
        <w:tc>
          <w:tcPr>
            <w:tcW w:type="dxa" w:w="2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Below target</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Average Precision</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0.258</w:t>
            </w:r>
          </w:p>
        </w:tc>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Higher is better</w:t>
            </w:r>
          </w:p>
        </w:tc>
        <w:tc>
          <w:tcPr>
            <w:tcW w:type="dxa" w:w="2960"/>
            <w:vAlign w:val="center"/>
            <w:tcMar>
              <w:top w:w="80" w:type="dxa"/>
              <w:bottom w:w="80" w:type="dxa"/>
              <w:start w:w="120" w:type="dxa"/>
              <w:end w:w="120" w:type="dxa"/>
            </w:tcMar>
          </w:tcPr>
          <w:p>
            <w:pPr>
              <w:spacing w:before="40" w:after="40" w:lineRule="auto" w:line="240"/>
              <w:jc w:val="center"/>
            </w:pPr>
            <w:r/>
            <w:r>
              <w:rPr>
                <w:rFonts w:ascii="Calibri" w:hAnsi="Calibri"/>
                <w:sz w:val="19"/>
              </w:rPr>
              <w:t>Reasonable for 8% base rate</w:t>
            </w:r>
          </w:p>
        </w:tc>
      </w:tr>
      <w:tr>
        <w:trPr/>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F2 Score</w:t>
            </w:r>
          </w:p>
        </w:tc>
        <w:tc>
          <w:tcPr>
            <w:tcW w:type="dxa" w:w="1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0.432</w:t>
            </w:r>
          </w:p>
        </w:tc>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Higher is better</w:t>
            </w:r>
          </w:p>
        </w:tc>
        <w:tc>
          <w:tcPr>
            <w:tcW w:type="dxa" w:w="2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Optimized for recall-biased risk</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Optimal Threshold</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0.485</w:t>
            </w:r>
          </w:p>
        </w:tc>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F2-optimized</w:t>
            </w:r>
          </w:p>
        </w:tc>
        <w:tc>
          <w:tcPr>
            <w:tcW w:type="dxa" w:w="2960"/>
            <w:vAlign w:val="center"/>
            <w:tcMar>
              <w:top w:w="80" w:type="dxa"/>
              <w:bottom w:w="80" w:type="dxa"/>
              <w:start w:w="120" w:type="dxa"/>
              <w:end w:w="120" w:type="dxa"/>
            </w:tcMar>
          </w:tcPr>
          <w:p>
            <w:pPr>
              <w:spacing w:before="40" w:after="40" w:lineRule="auto" w:line="240"/>
              <w:jc w:val="center"/>
            </w:pPr>
            <w:r/>
            <w:r>
              <w:rPr>
                <w:rFonts w:ascii="Calibri" w:hAnsi="Calibri"/>
                <w:sz w:val="19"/>
              </w:rPr>
              <w:t>Decision boundary</w:t>
            </w:r>
          </w:p>
        </w:tc>
      </w:tr>
      <w:tr>
        <w:trPr/>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Precision @ threshold</w:t>
            </w:r>
          </w:p>
        </w:tc>
        <w:tc>
          <w:tcPr>
            <w:tcW w:type="dxa" w:w="1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0.171</w:t>
            </w:r>
          </w:p>
        </w:tc>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&gt;= 0.40 (target)</w:t>
            </w:r>
          </w:p>
        </w:tc>
        <w:tc>
          <w:tcPr>
            <w:tcW w:type="dxa" w:w="2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Reflects 8% base rate constraint</w:t>
            </w:r>
          </w:p>
        </w:tc>
      </w:tr>
      <w:tr>
        <w:trPr/>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Recall @ threshold</w:t>
            </w:r>
          </w:p>
        </w:tc>
        <w:tc>
          <w:tcPr>
            <w:tcW w:type="dxa" w:w="1600"/>
            <w:vAlign w:val="center"/>
            <w:tcMar>
              <w:top w:w="80" w:type="dxa"/>
              <w:bottom w:w="80" w:type="dxa"/>
              <w:start w:w="120" w:type="dxa"/>
              <w:end w:w="120" w:type="dxa"/>
            </w:tcMar>
          </w:tcPr>
          <w:p>
            <w:pPr>
              <w:spacing w:before="40" w:after="40" w:lineRule="auto" w:line="240"/>
              <w:jc w:val="left"/>
            </w:pPr>
            <w:r/>
            <w:r>
              <w:rPr>
                <w:rFonts w:ascii="Calibri" w:hAnsi="Calibri"/>
                <w:sz w:val="19"/>
              </w:rPr>
              <w:t>0.697</w:t>
            </w:r>
          </w:p>
        </w:tc>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&gt;= 0.70 (target)</w:t>
            </w:r>
          </w:p>
        </w:tc>
        <w:tc>
          <w:tcPr>
            <w:tcW w:type="dxa" w:w="2960"/>
            <w:vAlign w:val="center"/>
            <w:tcMar>
              <w:top w:w="80" w:type="dxa"/>
              <w:bottom w:w="80" w:type="dxa"/>
              <w:start w:w="120" w:type="dxa"/>
              <w:end w:w="120" w:type="dxa"/>
            </w:tcMar>
          </w:tcPr>
          <w:p>
            <w:pPr>
              <w:spacing w:before="40" w:after="40" w:lineRule="auto" w:line="240"/>
              <w:jc w:val="center"/>
            </w:pPr>
            <w:r/>
            <w:r>
              <w:rPr>
                <w:rFonts w:ascii="Calibri" w:hAnsi="Calibri"/>
                <w:sz w:val="19"/>
              </w:rPr>
              <w:t>Captures ~70% of defaults</w:t>
            </w:r>
          </w:p>
        </w:tc>
      </w:tr>
    </w:tbl>
    <w:p>
      <w:pPr>
        <w:spacing w:before="80" w:after="80" w:lineRule="auto" w:line="264"/>
        <w:jc w:val="left"/>
      </w:pPr>
      <w:r>
        <w:rPr>
          <w:rFonts w:ascii="Calibri" w:hAnsi="Calibri"/>
          <w:i/>
          <w:color w:val="555555"/>
          <w:sz w:val="18"/>
        </w:rPr>
        <w:t>Table 7: Model performance metrics on held-out test set</w:t>
      </w:r>
    </w:p>
    <w:p>
      <w:pPr>
        <w:spacing w:before="160" w:after="80"/>
        <w:jc w:val="center"/>
      </w:pPr>
      <w:r>
        <w:drawing>
          <wp:inline xmlns:a="http://schemas.openxmlformats.org/drawingml/2006/main" xmlns:pic="http://schemas.openxmlformats.org/drawingml/2006/picture">
            <wp:extent cx="4389120" cy="1269916"/>
            <wp:docPr id="5" name="Picture 5"/>
            <wp:cNvGraphicFramePr>
              <a:graphicFrameLocks noChangeAspect="1"/>
            </wp:cNvGraphicFramePr>
            <a:graphic>
              <a:graphicData uri="http://schemas.openxmlformats.org/drawingml/2006/picture">
                <pic:pic>
                  <pic:nvPicPr>
                    <pic:cNvPr id="0" name="modeling_confusion_matrices.png"/>
                    <pic:cNvPicPr/>
                  </pic:nvPicPr>
                  <pic:blipFill>
                    <a:blip r:embed="rId13"/>
                    <a:stretch>
                      <a:fillRect/>
                    </a:stretch>
                  </pic:blipFill>
                  <pic:spPr>
                    <a:xfrm>
                      <a:off x="0" y="0"/>
                      <a:ext cx="4389120" cy="1269916"/>
                    </a:xfrm>
                    <a:prstGeom prst="rect"/>
                  </pic:spPr>
                </pic:pic>
              </a:graphicData>
            </a:graphic>
          </wp:inline>
        </w:drawing>
      </w:r>
    </w:p>
    <w:p>
      <w:pPr>
        <w:spacing w:before="0" w:after="120" w:lineRule="auto" w:line="240"/>
        <w:jc w:val="center"/>
      </w:pPr>
      <w:r>
        <w:rPr>
          <w:rFonts w:ascii="Calibri" w:hAnsi="Calibri"/>
          <w:i/>
          <w:color w:val="555555"/>
          <w:sz w:val="18"/>
        </w:rPr>
        <w:t>Figure 5: Confusion matrix for LightGBM at threshold 0.485</w:t>
      </w:r>
    </w:p>
    <w:p>
      <w:pPr>
        <w:pStyle w:val="Heading2"/>
      </w:pPr>
      <w:r>
        <w:t>6.2 Confusion Matrix Analysis</w:t>
      </w:r>
    </w:p>
    <w:tbl>
      <w:tblPr>
        <w:tblW w:type="dxa" w:w="9360"/>
        <w:jc w:val="left"/>
        <w:tblLayout w:type="fixed"/>
        <w:tblLook w:firstColumn="1" w:firstRow="1" w:lastColumn="0" w:lastRow="0" w:noHBand="0" w:noVBand="1" w:val="04A0"/>
        <w:tblInd w:type="dxa" w:w="120"/>
      </w:tblPr>
      <w:tblGrid>
        <w:gridCol w:w="2560"/>
        <w:gridCol w:w="2400"/>
        <w:gridCol w:w="2400"/>
        <w:gridCol w:w="2000"/>
      </w:tblGrid>
      <w:tr>
        <w:trPr/>
        <w:tc>
          <w:tcPr>
            <w:tcW w:type="dxa" w:w="25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r>
          </w:p>
        </w:tc>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Predicted: Repaid</w:t>
            </w:r>
          </w:p>
        </w:tc>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Predicted: Default</w:t>
            </w:r>
          </w:p>
        </w:tc>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Total</w:t>
            </w:r>
          </w:p>
        </w:tc>
      </w:tr>
      <w:tr>
        <w:trPr/>
        <w:tc>
          <w:tcPr>
            <w:tcW w:type="dxa" w:w="2560"/>
            <w:vAlign w:val="center"/>
            <w:tcMar>
              <w:top w:w="80" w:type="dxa"/>
              <w:bottom w:w="80" w:type="dxa"/>
              <w:start w:w="120" w:type="dxa"/>
              <w:end w:w="120" w:type="dxa"/>
            </w:tcMar>
          </w:tcPr>
          <w:p>
            <w:pPr>
              <w:spacing w:before="40" w:after="40" w:lineRule="auto" w:line="240"/>
              <w:jc w:val="center"/>
            </w:pPr>
            <w:r/>
            <w:r>
              <w:rPr>
                <w:rFonts w:ascii="Calibri" w:hAnsi="Calibri"/>
                <w:sz w:val="19"/>
              </w:rPr>
              <w:t>Actual: Repaid (0)</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39,774 (TN)</w:t>
            </w:r>
          </w:p>
        </w:tc>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16,764 (FP)</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56,538</w:t>
            </w:r>
          </w:p>
        </w:tc>
      </w:tr>
      <w:tr>
        <w:trPr/>
        <w:tc>
          <w:tcPr>
            <w:tcW w:type="dxa" w:w="2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Actual: Default (1)</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1,504 (FN)</w:t>
            </w:r>
          </w:p>
        </w:tc>
        <w:tc>
          <w:tcPr>
            <w:tcW w:type="dxa" w:w="2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3,461 (TP)</w:t>
            </w:r>
          </w:p>
        </w:tc>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4,965</w:t>
            </w:r>
          </w:p>
        </w:tc>
      </w:tr>
      <w:tr>
        <w:trPr/>
        <w:tc>
          <w:tcPr>
            <w:tcW w:type="dxa" w:w="2560"/>
            <w:vAlign w:val="center"/>
            <w:tcMar>
              <w:top w:w="80" w:type="dxa"/>
              <w:bottom w:w="80" w:type="dxa"/>
              <w:start w:w="120" w:type="dxa"/>
              <w:end w:w="120" w:type="dxa"/>
            </w:tcMar>
          </w:tcPr>
          <w:p>
            <w:pPr>
              <w:spacing w:before="40" w:after="40" w:lineRule="auto" w:line="240"/>
              <w:jc w:val="center"/>
            </w:pPr>
            <w:r/>
            <w:r>
              <w:rPr>
                <w:rFonts w:ascii="Calibri" w:hAnsi="Calibri"/>
                <w:sz w:val="19"/>
              </w:rPr>
              <w:t>Total</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41,278</w:t>
            </w:r>
          </w:p>
        </w:tc>
        <w:tc>
          <w:tcPr>
            <w:tcW w:type="dxa" w:w="2400"/>
            <w:vAlign w:val="center"/>
            <w:tcMar>
              <w:top w:w="80" w:type="dxa"/>
              <w:bottom w:w="80" w:type="dxa"/>
              <w:start w:w="120" w:type="dxa"/>
              <w:end w:w="120" w:type="dxa"/>
            </w:tcMar>
          </w:tcPr>
          <w:p>
            <w:pPr>
              <w:spacing w:before="40" w:after="40" w:lineRule="auto" w:line="240"/>
              <w:jc w:val="center"/>
            </w:pPr>
            <w:r/>
            <w:r>
              <w:rPr>
                <w:rFonts w:ascii="Calibri" w:hAnsi="Calibri"/>
                <w:sz w:val="19"/>
              </w:rPr>
              <w:t>20,225</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61,503</w:t>
            </w:r>
          </w:p>
        </w:tc>
      </w:tr>
    </w:tbl>
    <w:p>
      <w:pPr>
        <w:spacing w:before="80" w:after="80" w:lineRule="auto" w:line="264"/>
        <w:jc w:val="left"/>
      </w:pPr>
      <w:r>
        <w:rPr>
          <w:rFonts w:ascii="Calibri" w:hAnsi="Calibri"/>
          <w:i/>
          <w:color w:val="555555"/>
          <w:sz w:val="18"/>
        </w:rPr>
        <w:t>Table 8: Confusion matrix — LightGBM at optimal threshold</w:t>
      </w:r>
    </w:p>
    <w:p>
      <w:pPr>
        <w:spacing w:before="0" w:after="120" w:lineRule="auto" w:line="264"/>
        <w:jc w:val="left"/>
      </w:pPr>
      <w:r>
        <w:rPr>
          <w:rFonts w:ascii="Calibri" w:hAnsi="Calibri"/>
          <w:sz w:val="22"/>
        </w:rPr>
        <w:t>The model captures 69.7% of all defaults (3,461 out of 4,965) while flagging 16,764 non-defaults for review. With an 8% base rate, the 17% precision is expected — the model is identifying a higher-risk group where defaults occur at more than double the base rate.</w:t>
      </w:r>
    </w:p>
    <w:p>
      <w:pPr>
        <w:pStyle w:val="Heading2"/>
      </w:pPr>
      <w:r>
        <w:t>6.3 Precision-Recall Tradeoff</w:t>
      </w:r>
    </w:p>
    <w:p>
      <w:pPr>
        <w:spacing w:before="0" w:after="120" w:lineRule="auto" w:line="264"/>
        <w:jc w:val="left"/>
      </w:pPr>
      <w:r>
        <w:rPr>
          <w:rFonts w:ascii="Calibri" w:hAnsi="Calibri"/>
          <w:sz w:val="22"/>
        </w:rPr>
        <w:t>The precision-recall tradeoff is managed through the decision threshold. At the selected threshold of 0.485, the model prioritizes recall (catching defaults) over precision (avoiding false positives). This is appropriate for credit risk where the cost of missing a default is much higher than the cost of reviewing a false positive. Adjusting the threshold upward would increase precision but miss more defaults; adjusting downward would catch more defaults but increase false positives.</w:t>
      </w:r>
    </w:p>
    <w:p>
      <w:pPr>
        <w:spacing w:before="0" w:after="120" w:lineRule="auto" w:line="264"/>
        <w:jc w:val="left"/>
      </w:pPr>
      <w:r>
        <w:rPr>
          <w:rFonts w:ascii="Calibri" w:hAnsi="Calibri"/>
          <w:sz w:val="22"/>
        </w:rPr>
        <w:t>For the collections use case, precision matters more — sending collectors to chase false positives is costly. A higher threshold (e.g., 0.70) could be used for collections prioritization to ensure a higher hit rate on the accounts flagged for intervention.</w:t>
      </w:r>
    </w:p>
    <w:p>
      <w:pPr>
        <w:pStyle w:val="Heading2"/>
      </w:pPr>
      <w:r>
        <w:t>6.4 Model Limitations</w:t>
      </w:r>
    </w:p>
    <w:p>
      <w:pPr>
        <w:pStyle w:val="ListBullet"/>
        <w:spacing w:before="0" w:after="160" w:lineRule="auto" w:line="280"/>
      </w:pPr>
      <w:r>
        <w:rPr>
          <w:rFonts w:ascii="Calibri" w:hAnsi="Calibri"/>
          <w:sz w:val="22"/>
        </w:rPr>
        <w:t>AUC of 0.768 is below the aspirational target of 0.80, though still provides strong discriminative power</w:t>
      </w:r>
    </w:p>
    <w:p>
      <w:pPr>
        <w:pStyle w:val="ListBullet"/>
        <w:spacing w:before="0" w:after="160" w:lineRule="auto" w:line="280"/>
      </w:pPr>
      <w:r>
        <w:rPr>
          <w:rFonts w:ascii="Calibri" w:hAnsi="Calibri"/>
          <w:sz w:val="22"/>
        </w:rPr>
        <w:t>Single-table features: only the main applicant table was used; multi-table aggregation may improve performance</w:t>
      </w:r>
    </w:p>
    <w:p>
      <w:pPr>
        <w:pStyle w:val="ListBullet"/>
        <w:spacing w:before="0" w:after="160" w:lineRule="auto" w:line="280"/>
      </w:pPr>
      <w:r>
        <w:rPr>
          <w:rFonts w:ascii="Calibri" w:hAnsi="Calibri"/>
          <w:sz w:val="22"/>
        </w:rPr>
        <w:t>No temporal validation: the train/test split is random, not time-based, so look-ahead bias is possible</w:t>
      </w:r>
    </w:p>
    <w:p>
      <w:pPr>
        <w:pStyle w:val="ListBullet"/>
        <w:spacing w:before="0" w:after="160" w:lineRule="auto" w:line="280"/>
      </w:pPr>
      <w:r>
        <w:rPr>
          <w:rFonts w:ascii="Calibri" w:hAnsi="Calibri"/>
          <w:sz w:val="22"/>
        </w:rPr>
        <w:t>17% precision means many flagged applicants are false positives, increasing operational costs</w:t>
      </w:r>
    </w:p>
    <w:p>
      <w:pPr>
        <w:pStyle w:val="ListBullet"/>
        <w:spacing w:before="0" w:after="160" w:lineRule="auto" w:line="280"/>
      </w:pPr>
      <w:r>
        <w:rPr>
          <w:rFonts w:ascii="Calibri" w:hAnsi="Calibri"/>
          <w:sz w:val="22"/>
        </w:rPr>
        <w:t>No formal fairness or calibration audit has been completed</w:t>
      </w:r>
    </w:p>
    <w:p>
      <w:r>
        <w:br w:type="page"/>
      </w:r>
    </w:p>
    <w:p>
      <w:pPr>
        <w:pStyle w:val="Heading1"/>
      </w:pPr>
      <w:r>
        <w:t>7. Model Explainability</w:t>
      </w:r>
    </w:p>
    <w:p>
      <w:pPr>
        <w:spacing w:before="0" w:after="120" w:lineRule="auto" w:line="264"/>
        <w:jc w:val="left"/>
      </w:pPr>
      <w:r>
        <w:rPr>
          <w:rFonts w:ascii="Calibri" w:hAnsi="Calibri"/>
          <w:sz w:val="22"/>
        </w:rPr>
        <w:t>Model explainability is essential for regulatory compliance (ECOA, Fair Lending laws) and stakeholder trust. We employed SHAP (SHapley Additive exPlanations), permutation importance, and partial dependence analysis to understand the model's decision-making process.</w:t>
      </w:r>
    </w:p>
    <w:p>
      <w:pPr>
        <w:pStyle w:val="Heading2"/>
      </w:pPr>
      <w:r>
        <w:t>7.1 SHAP Global Feature Importance</w:t>
      </w:r>
    </w:p>
    <w:p>
      <w:pPr>
        <w:spacing w:before="0" w:after="120" w:lineRule="auto" w:line="264"/>
        <w:jc w:val="left"/>
      </w:pPr>
      <w:r>
        <w:rPr>
          <w:rFonts w:ascii="Calibri" w:hAnsi="Calibri"/>
          <w:sz w:val="22"/>
        </w:rPr>
        <w:t>SHAP analysis reveals that external credit scores dominate the model's predictions, with EXT_MEAN (the composite of three external sources) being by far the most important feature at 0.47 mean absolute SHAP value — more than double the next feature.</w:t>
      </w:r>
    </w:p>
    <w:tbl>
      <w:tblPr>
        <w:tblW w:type="dxa" w:w="9360"/>
        <w:jc w:val="left"/>
        <w:tblLayout w:type="fixed"/>
        <w:tblLook w:firstColumn="1" w:firstRow="1" w:lastColumn="0" w:lastRow="0" w:noHBand="0" w:noVBand="1" w:val="04A0"/>
        <w:tblInd w:type="dxa" w:w="120"/>
      </w:tblPr>
      <w:tblGrid>
        <w:gridCol w:w="800"/>
        <w:gridCol w:w="2600"/>
        <w:gridCol w:w="1600"/>
        <w:gridCol w:w="4360"/>
      </w:tblGrid>
      <w:tr>
        <w:trPr/>
        <w:tc>
          <w:tcPr>
            <w:tcW w:type="dxa" w:w="8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Rank</w:t>
            </w:r>
          </w:p>
        </w:tc>
        <w:tc>
          <w:tcPr>
            <w:tcW w:type="dxa" w:w="2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Feature</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Mean |SHAP|</w:t>
            </w:r>
          </w:p>
        </w:tc>
        <w:tc>
          <w:tcPr>
            <w:tcW w:type="dxa" w:w="4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Business Interpretation</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1</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EXT_MEAN</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0.4695</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Composite external creditworthiness</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ANNUITY_RATE</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0.1704</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Annuity-to-credit ratio (payment intensity)</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3</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AMT_GOODS_PRICE</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0.1416</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Loan goods price</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4</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CODE_GENDER_M</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0.1244</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Gender indicator (requires fairness audit)</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5</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EDU_ORDINAL</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0.0942</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Education level (ordinal)</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6</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AMT_ANNUITY</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0.0886</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Monthly payment amount</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7</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EXT_SOURCE_3</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0.0751</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Third external credit source</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8</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AMT_CREDIT</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0.0665</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Loan credit amount</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9</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FAMILY_ORDINAL</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0.0613</w:t>
            </w:r>
          </w:p>
        </w:tc>
        <w:tc>
          <w:tcPr>
            <w:tcW w:type="dxa" w:w="4360"/>
            <w:vAlign w:val="center"/>
            <w:tcMar>
              <w:top w:w="80" w:type="dxa"/>
              <w:bottom w:w="80" w:type="dxa"/>
              <w:start w:w="120" w:type="dxa"/>
              <w:end w:w="120" w:type="dxa"/>
            </w:tcMar>
          </w:tcPr>
          <w:p>
            <w:pPr>
              <w:spacing w:before="40" w:after="40" w:lineRule="auto" w:line="240"/>
              <w:jc w:val="center"/>
            </w:pPr>
            <w:r/>
            <w:r>
              <w:rPr>
                <w:rFonts w:ascii="Calibri" w:hAnsi="Calibri"/>
                <w:sz w:val="19"/>
              </w:rPr>
              <w:t>Family status (ordinal)</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10</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EXT_2x3</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0.0508</w:t>
            </w:r>
          </w:p>
        </w:tc>
        <w:tc>
          <w:tcPr>
            <w:tcW w:type="dxa" w:w="4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Interaction: EXT_SOURCE_2 x EXT_SOURCE_3</w:t>
            </w:r>
          </w:p>
        </w:tc>
      </w:tr>
    </w:tbl>
    <w:p>
      <w:pPr>
        <w:spacing w:before="80" w:after="80" w:lineRule="auto" w:line="264"/>
        <w:jc w:val="left"/>
      </w:pPr>
      <w:r>
        <w:rPr>
          <w:rFonts w:ascii="Calibri" w:hAnsi="Calibri"/>
          <w:i/>
          <w:color w:val="555555"/>
          <w:sz w:val="18"/>
        </w:rPr>
        <w:t>Table 9: Top 10 features by mean absolute SHAP value</w:t>
      </w:r>
    </w:p>
    <w:p>
      <w:pPr>
        <w:spacing w:before="160" w:after="80"/>
        <w:jc w:val="center"/>
      </w:pPr>
      <w:r>
        <w:drawing>
          <wp:inline xmlns:a="http://schemas.openxmlformats.org/drawingml/2006/main" xmlns:pic="http://schemas.openxmlformats.org/drawingml/2006/picture">
            <wp:extent cx="4754880" cy="3302774"/>
            <wp:docPr id="6" name="Picture 6"/>
            <wp:cNvGraphicFramePr>
              <a:graphicFrameLocks noChangeAspect="1"/>
            </wp:cNvGraphicFramePr>
            <a:graphic>
              <a:graphicData uri="http://schemas.openxmlformats.org/drawingml/2006/picture">
                <pic:pic>
                  <pic:nvPicPr>
                    <pic:cNvPr id="0" name="shap_summary_beeswarm.png"/>
                    <pic:cNvPicPr/>
                  </pic:nvPicPr>
                  <pic:blipFill>
                    <a:blip r:embed="rId14"/>
                    <a:stretch>
                      <a:fillRect/>
                    </a:stretch>
                  </pic:blipFill>
                  <pic:spPr>
                    <a:xfrm>
                      <a:off x="0" y="0"/>
                      <a:ext cx="4754880" cy="3302774"/>
                    </a:xfrm>
                    <a:prstGeom prst="rect"/>
                  </pic:spPr>
                </pic:pic>
              </a:graphicData>
            </a:graphic>
          </wp:inline>
        </w:drawing>
      </w:r>
    </w:p>
    <w:p>
      <w:pPr>
        <w:spacing w:before="0" w:after="120" w:lineRule="auto" w:line="240"/>
        <w:jc w:val="center"/>
      </w:pPr>
      <w:r>
        <w:rPr>
          <w:rFonts w:ascii="Calibri" w:hAnsi="Calibri"/>
          <w:i/>
          <w:color w:val="555555"/>
          <w:sz w:val="18"/>
        </w:rPr>
        <w:t>Figure 6: SHAP beeswarm summary plot showing feature impact on model output</w:t>
      </w:r>
    </w:p>
    <w:p>
      <w:pPr>
        <w:pStyle w:val="Heading2"/>
      </w:pPr>
      <w:r>
        <w:t>7.2 Permutation Importance Validation</w:t>
      </w:r>
    </w:p>
    <w:p>
      <w:pPr>
        <w:spacing w:before="0" w:after="120" w:lineRule="auto" w:line="264"/>
        <w:jc w:val="left"/>
      </w:pPr>
      <w:r>
        <w:rPr>
          <w:rFonts w:ascii="Calibri" w:hAnsi="Calibri"/>
          <w:sz w:val="22"/>
        </w:rPr>
        <w:t>Permutation importance was computed to validate the SHAP results and confirm the stability of feature rankings. The top features show consistent importance across both methods:</w:t>
      </w:r>
    </w:p>
    <w:tbl>
      <w:tblPr>
        <w:tblW w:type="dxa" w:w="9360"/>
        <w:jc w:val="left"/>
        <w:tblLayout w:type="fixed"/>
        <w:tblLook w:firstColumn="1" w:firstRow="1" w:lastColumn="0" w:lastRow="0" w:noHBand="0" w:noVBand="1" w:val="04A0"/>
        <w:tblInd w:type="dxa" w:w="120"/>
      </w:tblPr>
      <w:tblGrid>
        <w:gridCol w:w="800"/>
        <w:gridCol w:w="2600"/>
        <w:gridCol w:w="1600"/>
        <w:gridCol w:w="1600"/>
        <w:gridCol w:w="2760"/>
      </w:tblGrid>
      <w:tr>
        <w:trPr/>
        <w:tc>
          <w:tcPr>
            <w:tcW w:type="dxa" w:w="8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Rank</w:t>
            </w:r>
          </w:p>
        </w:tc>
        <w:tc>
          <w:tcPr>
            <w:tcW w:type="dxa" w:w="2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Feature</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AUC Drop</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Std Dev</w:t>
            </w:r>
          </w:p>
        </w:tc>
        <w:tc>
          <w:tcPr>
            <w:tcW w:type="dxa" w:w="27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Interpretation</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1</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EXT_MEAN</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0.0598</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+/- 0.0229</w:t>
            </w:r>
          </w:p>
        </w:tc>
        <w:tc>
          <w:tcPr>
            <w:tcW w:type="dxa" w:w="2760"/>
            <w:vAlign w:val="center"/>
            <w:tcMar>
              <w:top w:w="80" w:type="dxa"/>
              <w:bottom w:w="80" w:type="dxa"/>
              <w:start w:w="120" w:type="dxa"/>
              <w:end w:w="120" w:type="dxa"/>
            </w:tcMar>
          </w:tcPr>
          <w:p>
            <w:pPr>
              <w:spacing w:before="40" w:after="40" w:lineRule="auto" w:line="240"/>
              <w:jc w:val="center"/>
            </w:pPr>
            <w:r/>
            <w:r>
              <w:rPr>
                <w:rFonts w:ascii="Calibri" w:hAnsi="Calibri"/>
                <w:sz w:val="19"/>
              </w:rPr>
              <w:t>Dropping this reduces AUC by 0.06</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ANNUITY_RATE</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0.0305</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+/- 0.0062</w:t>
            </w:r>
          </w:p>
        </w:tc>
        <w:tc>
          <w:tcPr>
            <w:tcW w:type="dxa" w:w="27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Second most important</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3</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AMT_CREDIT</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0.0140</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+/- 0.0039</w:t>
            </w:r>
          </w:p>
        </w:tc>
        <w:tc>
          <w:tcPr>
            <w:tcW w:type="dxa" w:w="2760"/>
            <w:vAlign w:val="center"/>
            <w:tcMar>
              <w:top w:w="80" w:type="dxa"/>
              <w:bottom w:w="80" w:type="dxa"/>
              <w:start w:w="120" w:type="dxa"/>
              <w:end w:w="120" w:type="dxa"/>
            </w:tcMar>
          </w:tcPr>
          <w:p>
            <w:pPr>
              <w:spacing w:before="40" w:after="40" w:lineRule="auto" w:line="240"/>
              <w:jc w:val="center"/>
            </w:pPr>
            <w:r/>
            <w:r>
              <w:rPr>
                <w:rFonts w:ascii="Calibri" w:hAnsi="Calibri"/>
                <w:sz w:val="19"/>
              </w:rPr>
              <w:t>Loan amount matters</w:t>
            </w:r>
          </w:p>
        </w:tc>
      </w:tr>
      <w:tr>
        <w:trPr/>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4</w:t>
            </w:r>
          </w:p>
        </w:tc>
        <w:tc>
          <w:tcPr>
            <w:tcW w:type="dxa" w:w="2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AMT_ANNUITY</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0.0093</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+/- 0.0043</w:t>
            </w:r>
          </w:p>
        </w:tc>
        <w:tc>
          <w:tcPr>
            <w:tcW w:type="dxa" w:w="27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Payment amount</w:t>
            </w:r>
          </w:p>
        </w:tc>
      </w:tr>
      <w:tr>
        <w:trPr/>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5</w:t>
            </w:r>
          </w:p>
        </w:tc>
        <w:tc>
          <w:tcPr>
            <w:tcW w:type="dxa" w:w="2600"/>
            <w:vAlign w:val="center"/>
            <w:tcMar>
              <w:top w:w="80" w:type="dxa"/>
              <w:bottom w:w="80" w:type="dxa"/>
              <w:start w:w="120" w:type="dxa"/>
              <w:end w:w="120" w:type="dxa"/>
            </w:tcMar>
          </w:tcPr>
          <w:p>
            <w:pPr>
              <w:spacing w:before="40" w:after="40" w:lineRule="auto" w:line="240"/>
              <w:jc w:val="left"/>
            </w:pPr>
            <w:r/>
            <w:r>
              <w:rPr>
                <w:rFonts w:ascii="Calibri" w:hAnsi="Calibri"/>
                <w:sz w:val="19"/>
              </w:rPr>
              <w:t>EDU_ORDINAL</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0.0072</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+/- 0.0031</w:t>
            </w:r>
          </w:p>
        </w:tc>
        <w:tc>
          <w:tcPr>
            <w:tcW w:type="dxa" w:w="2760"/>
            <w:vAlign w:val="center"/>
            <w:tcMar>
              <w:top w:w="80" w:type="dxa"/>
              <w:bottom w:w="80" w:type="dxa"/>
              <w:start w:w="120" w:type="dxa"/>
              <w:end w:w="120" w:type="dxa"/>
            </w:tcMar>
          </w:tcPr>
          <w:p>
            <w:pPr>
              <w:spacing w:before="40" w:after="40" w:lineRule="auto" w:line="240"/>
              <w:jc w:val="center"/>
            </w:pPr>
            <w:r/>
            <w:r>
              <w:rPr>
                <w:rFonts w:ascii="Calibri" w:hAnsi="Calibri"/>
                <w:sz w:val="19"/>
              </w:rPr>
              <w:t>Education effect</w:t>
            </w:r>
          </w:p>
        </w:tc>
      </w:tr>
    </w:tbl>
    <w:p>
      <w:pPr>
        <w:spacing w:before="80" w:after="80" w:lineRule="auto" w:line="264"/>
        <w:jc w:val="left"/>
      </w:pPr>
      <w:r>
        <w:rPr>
          <w:rFonts w:ascii="Calibri" w:hAnsi="Calibri"/>
          <w:i/>
          <w:color w:val="555555"/>
          <w:sz w:val="18"/>
        </w:rPr>
        <w:t>Table 10: Top 5 features by permutation importance</w:t>
      </w:r>
    </w:p>
    <w:p>
      <w:pPr>
        <w:pStyle w:val="Heading2"/>
      </w:pPr>
      <w:r>
        <w:t>7.3 Partial Dependence Analysis</w:t>
      </w:r>
    </w:p>
    <w:p>
      <w:pPr>
        <w:spacing w:before="0" w:after="120" w:lineRule="auto" w:line="264"/>
        <w:jc w:val="left"/>
      </w:pPr>
      <w:r>
        <w:rPr>
          <w:rFonts w:ascii="Calibri" w:hAnsi="Calibri"/>
          <w:sz w:val="22"/>
        </w:rPr>
        <w:t>Partial dependence plots (PDPs) for the top features reveal monotonic, interpretable relationships that align with domain knowledge:</w:t>
      </w:r>
    </w:p>
    <w:p>
      <w:pPr>
        <w:pStyle w:val="ListBullet"/>
        <w:spacing w:before="0" w:after="160" w:lineRule="auto" w:line="280"/>
      </w:pPr>
      <w:r>
        <w:rPr>
          <w:rFonts w:ascii="Calibri" w:hAnsi="Calibri"/>
          <w:sz w:val="22"/>
        </w:rPr>
        <w:t>EXT_MEAN: Higher external credit scores monotonically decrease default probability — the cleanest risk signal</w:t>
      </w:r>
    </w:p>
    <w:p>
      <w:pPr>
        <w:pStyle w:val="ListBullet"/>
        <w:spacing w:before="0" w:after="160" w:lineRule="auto" w:line="280"/>
      </w:pPr>
      <w:r>
        <w:rPr>
          <w:rFonts w:ascii="Calibri" w:hAnsi="Calibri"/>
          <w:sz w:val="22"/>
        </w:rPr>
        <w:t>ANNUITY_RATE: Higher payment intensity (annuity / credit amount) increases default risk</w:t>
      </w:r>
    </w:p>
    <w:p>
      <w:pPr>
        <w:pStyle w:val="ListBullet"/>
        <w:spacing w:before="0" w:after="160" w:lineRule="auto" w:line="280"/>
      </w:pPr>
      <w:r>
        <w:rPr>
          <w:rFonts w:ascii="Calibri" w:hAnsi="Calibri"/>
          <w:sz w:val="22"/>
        </w:rPr>
        <w:t>CODE_GENDER_M: Male applicants show higher predicted risk, which requires fairness investigation</w:t>
      </w:r>
    </w:p>
    <w:p>
      <w:pPr>
        <w:pStyle w:val="ListBullet"/>
        <w:spacing w:before="0" w:after="160" w:lineRule="auto" w:line="280"/>
      </w:pPr>
      <w:r>
        <w:rPr>
          <w:rFonts w:ascii="Calibri" w:hAnsi="Calibri"/>
          <w:sz w:val="22"/>
        </w:rPr>
        <w:t>AMT_GOODS_PRICE: Larger loan amounts show slightly higher risk</w:t>
      </w:r>
    </w:p>
    <w:p>
      <w:pPr>
        <w:spacing w:before="160" w:after="80"/>
        <w:jc w:val="center"/>
      </w:pPr>
      <w:r>
        <w:drawing>
          <wp:inline xmlns:a="http://schemas.openxmlformats.org/drawingml/2006/main" xmlns:pic="http://schemas.openxmlformats.org/drawingml/2006/picture">
            <wp:extent cx="5029200" cy="2879985"/>
            <wp:docPr id="7" name="Picture 7"/>
            <wp:cNvGraphicFramePr>
              <a:graphicFrameLocks noChangeAspect="1"/>
            </wp:cNvGraphicFramePr>
            <a:graphic>
              <a:graphicData uri="http://schemas.openxmlformats.org/drawingml/2006/picture">
                <pic:pic>
                  <pic:nvPicPr>
                    <pic:cNvPr id="0" name="partial_dependence_plots.png"/>
                    <pic:cNvPicPr/>
                  </pic:nvPicPr>
                  <pic:blipFill>
                    <a:blip r:embed="rId15"/>
                    <a:stretch>
                      <a:fillRect/>
                    </a:stretch>
                  </pic:blipFill>
                  <pic:spPr>
                    <a:xfrm>
                      <a:off x="0" y="0"/>
                      <a:ext cx="5029200" cy="2879985"/>
                    </a:xfrm>
                    <a:prstGeom prst="rect"/>
                  </pic:spPr>
                </pic:pic>
              </a:graphicData>
            </a:graphic>
          </wp:inline>
        </w:drawing>
      </w:r>
    </w:p>
    <w:p>
      <w:pPr>
        <w:spacing w:before="0" w:after="120" w:lineRule="auto" w:line="240"/>
        <w:jc w:val="center"/>
      </w:pPr>
      <w:r>
        <w:rPr>
          <w:rFonts w:ascii="Calibri" w:hAnsi="Calibri"/>
          <w:i/>
          <w:color w:val="555555"/>
          <w:sz w:val="18"/>
        </w:rPr>
        <w:t>Figure 7: Partial dependence plots for top features</w:t>
      </w:r>
    </w:p>
    <w:p>
      <w:pPr>
        <w:pStyle w:val="Heading2"/>
      </w:pPr>
      <w:r>
        <w:t>7.4 Case Studies — Local Interpretability</w:t>
      </w:r>
    </w:p>
    <w:p>
      <w:pPr>
        <w:spacing w:before="0" w:after="120" w:lineRule="auto" w:line="264"/>
        <w:jc w:val="left"/>
      </w:pPr>
      <w:r>
        <w:rPr>
          <w:rFonts w:ascii="Calibri" w:hAnsi="Calibri"/>
          <w:b/>
          <w:sz w:val="22"/>
        </w:rPr>
        <w:t>High-Risk Applicant (PD = 91.6%)</w:t>
      </w:r>
    </w:p>
    <w:p>
      <w:pPr>
        <w:spacing w:before="0" w:after="120" w:lineRule="auto" w:line="264"/>
        <w:jc w:val="left"/>
      </w:pPr>
      <w:r>
        <w:rPr>
          <w:rFonts w:ascii="Calibri" w:hAnsi="Calibri"/>
          <w:sz w:val="22"/>
        </w:rPr>
        <w:t>The model predicted this applicant would default with 91.6% probability. The actual outcome was default. Key drivers: low EXT_MEAN (significantly negative contribution), high ANNUITY_RATE, and low education level. This applicant would have been correctly declined under the model's optimal threshold.</w:t>
      </w:r>
    </w:p>
    <w:p>
      <w:pPr>
        <w:spacing w:before="0" w:after="120" w:lineRule="auto" w:line="264"/>
        <w:jc w:val="left"/>
      </w:pPr>
      <w:r>
        <w:rPr>
          <w:rFonts w:ascii="Calibri" w:hAnsi="Calibri"/>
          <w:b/>
          <w:sz w:val="22"/>
        </w:rPr>
        <w:t>Low-Risk Applicant (PD = 2.7%)</w:t>
      </w:r>
    </w:p>
    <w:p>
      <w:pPr>
        <w:spacing w:before="0" w:after="120" w:lineRule="auto" w:line="264"/>
        <w:jc w:val="left"/>
      </w:pPr>
      <w:r>
        <w:rPr>
          <w:rFonts w:ascii="Calibri" w:hAnsi="Calibri"/>
          <w:sz w:val="22"/>
        </w:rPr>
        <w:t>The model predicted this applicant would repay with 97.3% confidence. The actual outcome was repayment. Key drivers: high EXT_MEAN (strong positive contribution), low ANNUITY_RATE, and moderate income. This applicant would have been correctly approved.</w:t>
      </w:r>
    </w:p>
    <w:p>
      <w:pPr>
        <w:spacing w:before="160" w:after="80"/>
        <w:jc w:val="center"/>
      </w:pPr>
      <w:r>
        <w:drawing>
          <wp:inline xmlns:a="http://schemas.openxmlformats.org/drawingml/2006/main" xmlns:pic="http://schemas.openxmlformats.org/drawingml/2006/picture">
            <wp:extent cx="4754880" cy="5237828"/>
            <wp:docPr id="8" name="Picture 8"/>
            <wp:cNvGraphicFramePr>
              <a:graphicFrameLocks noChangeAspect="1"/>
            </wp:cNvGraphicFramePr>
            <a:graphic>
              <a:graphicData uri="http://schemas.openxmlformats.org/drawingml/2006/picture">
                <pic:pic>
                  <pic:nvPicPr>
                    <pic:cNvPr id="0" name="waterfall_high_risk.png"/>
                    <pic:cNvPicPr/>
                  </pic:nvPicPr>
                  <pic:blipFill>
                    <a:blip r:embed="rId16"/>
                    <a:stretch>
                      <a:fillRect/>
                    </a:stretch>
                  </pic:blipFill>
                  <pic:spPr>
                    <a:xfrm>
                      <a:off x="0" y="0"/>
                      <a:ext cx="4754880" cy="5237828"/>
                    </a:xfrm>
                    <a:prstGeom prst="rect"/>
                  </pic:spPr>
                </pic:pic>
              </a:graphicData>
            </a:graphic>
          </wp:inline>
        </w:drawing>
      </w:r>
    </w:p>
    <w:p>
      <w:pPr>
        <w:spacing w:before="0" w:after="120" w:lineRule="auto" w:line="240"/>
        <w:jc w:val="center"/>
      </w:pPr>
      <w:r>
        <w:rPr>
          <w:rFonts w:ascii="Calibri" w:hAnsi="Calibri"/>
          <w:i/>
          <w:color w:val="555555"/>
          <w:sz w:val="18"/>
        </w:rPr>
        <w:t>Figure 8: SHAP waterfall plot for high-risk applicant (PD=91.6%)</w:t>
      </w:r>
    </w:p>
    <w:p>
      <w:pPr>
        <w:spacing w:before="160" w:after="80"/>
        <w:jc w:val="center"/>
      </w:pPr>
      <w:r>
        <w:drawing>
          <wp:inline xmlns:a="http://schemas.openxmlformats.org/drawingml/2006/main" xmlns:pic="http://schemas.openxmlformats.org/drawingml/2006/picture">
            <wp:extent cx="4754880" cy="5144371"/>
            <wp:docPr id="9" name="Picture 9"/>
            <wp:cNvGraphicFramePr>
              <a:graphicFrameLocks noChangeAspect="1"/>
            </wp:cNvGraphicFramePr>
            <a:graphic>
              <a:graphicData uri="http://schemas.openxmlformats.org/drawingml/2006/picture">
                <pic:pic>
                  <pic:nvPicPr>
                    <pic:cNvPr id="0" name="waterfall_low_risk.png"/>
                    <pic:cNvPicPr/>
                  </pic:nvPicPr>
                  <pic:blipFill>
                    <a:blip r:embed="rId17"/>
                    <a:stretch>
                      <a:fillRect/>
                    </a:stretch>
                  </pic:blipFill>
                  <pic:spPr>
                    <a:xfrm>
                      <a:off x="0" y="0"/>
                      <a:ext cx="4754880" cy="5144371"/>
                    </a:xfrm>
                    <a:prstGeom prst="rect"/>
                  </pic:spPr>
                </pic:pic>
              </a:graphicData>
            </a:graphic>
          </wp:inline>
        </w:drawing>
      </w:r>
    </w:p>
    <w:p>
      <w:pPr>
        <w:spacing w:before="0" w:after="120" w:lineRule="auto" w:line="240"/>
        <w:jc w:val="center"/>
      </w:pPr>
      <w:r>
        <w:rPr>
          <w:rFonts w:ascii="Calibri" w:hAnsi="Calibri"/>
          <w:i/>
          <w:color w:val="555555"/>
          <w:sz w:val="18"/>
        </w:rPr>
        <w:t>Figure 9: SHAP waterfall plot for low-risk applicant (PD=2.7%)</w:t>
      </w:r>
    </w:p>
    <w:p>
      <w:pPr>
        <w:pStyle w:val="Heading2"/>
      </w:pPr>
      <w:r>
        <w:t>7.5 Feature Impact Summary</w:t>
      </w:r>
    </w:p>
    <w:p>
      <w:pPr>
        <w:spacing w:before="0" w:after="120" w:lineRule="auto" w:line="264"/>
        <w:jc w:val="left"/>
      </w:pPr>
      <w:r>
        <w:rPr>
          <w:rFonts w:ascii="Calibri" w:hAnsi="Calibri"/>
          <w:sz w:val="22"/>
        </w:rPr>
        <w:t>The explainability analysis leads to three actionable insights:</w:t>
      </w:r>
    </w:p>
    <w:p>
      <w:pPr>
        <w:pStyle w:val="ListBullet"/>
        <w:spacing w:before="0" w:after="160" w:lineRule="auto" w:line="280"/>
      </w:pPr>
      <w:r>
        <w:rPr>
          <w:rFonts w:ascii="Calibri" w:hAnsi="Calibri"/>
          <w:sz w:val="22"/>
        </w:rPr>
        <w:t>External credit scores are the dominant risk signal — underwriting decisions should heavily weight EXT_SOURCE inputs</w:t>
      </w:r>
    </w:p>
    <w:p>
      <w:pPr>
        <w:pStyle w:val="ListBullet"/>
        <w:spacing w:before="0" w:after="160" w:lineRule="auto" w:line="280"/>
      </w:pPr>
      <w:r>
        <w:rPr>
          <w:rFonts w:ascii="Calibri" w:hAnsi="Calibri"/>
          <w:sz w:val="22"/>
        </w:rPr>
        <w:t>Financial ratios (ANNUITY_RATE) provide significant independent signal beyond raw credit scores</w:t>
      </w:r>
    </w:p>
    <w:p>
      <w:pPr>
        <w:pStyle w:val="ListBullet"/>
        <w:spacing w:before="0" w:after="160" w:lineRule="auto" w:line="280"/>
      </w:pPr>
      <w:r>
        <w:rPr>
          <w:rFonts w:ascii="Calibri" w:hAnsi="Calibri"/>
          <w:sz w:val="22"/>
        </w:rPr>
        <w:t>Demographic features appear in the top 10, requiring a formal fairness assessment for regulatory compliance</w:t>
      </w:r>
    </w:p>
    <w:p>
      <w:r>
        <w:br w:type="page"/>
      </w:r>
    </w:p>
    <w:p>
      <w:pPr>
        <w:pStyle w:val="Heading1"/>
      </w:pPr>
      <w:r>
        <w:t>8. Business Simulation</w:t>
      </w:r>
    </w:p>
    <w:p>
      <w:pPr>
        <w:pStyle w:val="Heading2"/>
      </w:pPr>
      <w:r>
        <w:t>8.1 Simulation Framework</w:t>
      </w:r>
    </w:p>
    <w:p>
      <w:pPr>
        <w:spacing w:before="0" w:after="120" w:lineRule="auto" w:line="264"/>
        <w:jc w:val="left"/>
      </w:pPr>
      <w:r>
        <w:rPr>
          <w:rFonts w:ascii="Calibri" w:hAnsi="Calibri"/>
          <w:sz w:val="22"/>
        </w:rPr>
        <w:t>The business simulation translates model predictions into dollar-denominated outcomes. For a simulated portfolio of 50,000 applicants ($625M total principal at $12,500 average loan), we compute the net profit of various approval policies, accounting for revenue from performing loans and losses from defaults.</w:t>
      </w:r>
    </w:p>
    <w:tbl>
      <w:tblPr>
        <w:tblW w:type="dxa" w:w="9360"/>
        <w:jc w:val="left"/>
        <w:tblLayout w:type="fixed"/>
        <w:tblLook w:firstColumn="1" w:firstRow="1" w:lastColumn="0" w:lastRow="0" w:noHBand="0" w:noVBand="1" w:val="04A0"/>
        <w:tblInd w:type="dxa" w:w="120"/>
      </w:tblPr>
      <w:tblGrid>
        <w:gridCol w:w="3600"/>
        <w:gridCol w:w="2400"/>
        <w:gridCol w:w="3360"/>
      </w:tblGrid>
      <w:tr>
        <w:trPr/>
        <w:tc>
          <w:tcPr>
            <w:tcW w:type="dxa" w:w="3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Parameter</w:t>
            </w:r>
          </w:p>
        </w:tc>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Value</w:t>
            </w:r>
          </w:p>
        </w:tc>
        <w:tc>
          <w:tcPr>
            <w:tcW w:type="dxa" w:w="3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Source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Average loan amount</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$12,500</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Portfolio average</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Revenue per performing loan</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$3,975</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15% interest over 2-year average life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Loss per defaulted loan</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-$13,200</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60% LGD on average principal + collection cost</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Base default rate</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8.07%</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Observed in data</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Rule-based policy filter</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EXT_SOURCE_2 &lt; 0.30</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Current underwriting rules</w:t>
            </w:r>
          </w:p>
        </w:tc>
      </w:tr>
    </w:tbl>
    <w:p>
      <w:pPr>
        <w:spacing w:before="80" w:after="80" w:lineRule="auto" w:line="264"/>
        <w:jc w:val="left"/>
      </w:pPr>
      <w:r>
        <w:rPr>
          <w:rFonts w:ascii="Calibri" w:hAnsi="Calibri"/>
          <w:i/>
          <w:color w:val="555555"/>
          <w:sz w:val="18"/>
        </w:rPr>
        <w:t>Table 11: Business simulation assumptions</w:t>
      </w:r>
    </w:p>
    <w:p>
      <w:pPr>
        <w:pStyle w:val="Heading2"/>
      </w:pPr>
      <w:r>
        <w:t>8.2 Policy Scenario Comparison</w:t>
      </w:r>
    </w:p>
    <w:tbl>
      <w:tblPr>
        <w:tblW w:type="dxa" w:w="9360"/>
        <w:jc w:val="left"/>
        <w:tblLayout w:type="fixed"/>
        <w:tblLook w:firstColumn="1" w:firstRow="1" w:lastColumn="0" w:lastRow="0" w:noHBand="0" w:noVBand="1" w:val="04A0"/>
        <w:tblInd w:type="dxa" w:w="120"/>
      </w:tblPr>
      <w:tblGrid>
        <w:gridCol w:w="2800"/>
        <w:gridCol w:w="1200"/>
        <w:gridCol w:w="1600"/>
        <w:gridCol w:w="1400"/>
        <w:gridCol w:w="1400"/>
        <w:gridCol w:w="960"/>
      </w:tblGrid>
      <w:tr>
        <w:trPr/>
        <w:tc>
          <w:tcPr>
            <w:tcW w:type="dxa" w:w="28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Policy</w:t>
            </w:r>
          </w:p>
        </w:tc>
        <w:tc>
          <w:tcPr>
            <w:tcW w:type="dxa" w:w="1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Approval</w:t>
            </w:r>
          </w:p>
        </w:tc>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Loans Funded</w:t>
            </w:r>
          </w:p>
        </w:tc>
        <w:tc>
          <w:tcPr>
            <w:tcW w:type="dxa" w:w="1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Default Rate</w:t>
            </w:r>
          </w:p>
        </w:tc>
        <w:tc>
          <w:tcPr>
            <w:tcW w:type="dxa" w:w="1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Net Profit</w:t>
            </w:r>
          </w:p>
        </w:tc>
        <w:tc>
          <w:tcPr>
            <w:tcW w:type="dxa" w:w="9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RAR</w:t>
            </w:r>
          </w:p>
        </w:tc>
      </w:tr>
      <w:tr>
        <w:trPr/>
        <w:tc>
          <w:tcPr>
            <w:tcW w:type="dxa" w:w="2800"/>
            <w:vAlign w:val="center"/>
            <w:tcMar>
              <w:top w:w="80" w:type="dxa"/>
              <w:bottom w:w="80" w:type="dxa"/>
              <w:start w:w="120" w:type="dxa"/>
              <w:end w:w="120" w:type="dxa"/>
            </w:tcMar>
          </w:tcPr>
          <w:p>
            <w:pPr>
              <w:spacing w:before="40" w:after="40" w:lineRule="auto" w:line="240"/>
              <w:jc w:val="center"/>
            </w:pPr>
            <w:r/>
            <w:r>
              <w:rPr>
                <w:rFonts w:ascii="Calibri" w:hAnsi="Calibri"/>
                <w:sz w:val="19"/>
              </w:rPr>
              <w:t>Approve Everyone</w:t>
            </w:r>
          </w:p>
        </w:tc>
        <w:tc>
          <w:tcPr>
            <w:tcW w:type="dxa" w:w="1200"/>
            <w:vAlign w:val="center"/>
            <w:tcMar>
              <w:top w:w="80" w:type="dxa"/>
              <w:bottom w:w="80" w:type="dxa"/>
              <w:start w:w="120" w:type="dxa"/>
              <w:end w:w="120" w:type="dxa"/>
            </w:tcMar>
          </w:tcPr>
          <w:p>
            <w:pPr>
              <w:spacing w:before="40" w:after="40" w:lineRule="auto" w:line="240"/>
              <w:jc w:val="left"/>
            </w:pPr>
            <w:r/>
            <w:r>
              <w:rPr>
                <w:rFonts w:ascii="Calibri" w:hAnsi="Calibri"/>
                <w:sz w:val="19"/>
              </w:rPr>
              <w:t>100.0%</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50,000</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8.11%</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$129.1M</w:t>
            </w:r>
          </w:p>
        </w:tc>
        <w:tc>
          <w:tcPr>
            <w:tcW w:type="dxa" w:w="960"/>
            <w:vAlign w:val="center"/>
            <w:tcMar>
              <w:top w:w="80" w:type="dxa"/>
              <w:bottom w:w="80" w:type="dxa"/>
              <w:start w:w="120" w:type="dxa"/>
              <w:end w:w="120" w:type="dxa"/>
            </w:tcMar>
          </w:tcPr>
          <w:p>
            <w:pPr>
              <w:spacing w:before="40" w:after="40" w:lineRule="auto" w:line="240"/>
              <w:jc w:val="center"/>
            </w:pPr>
            <w:r/>
            <w:r>
              <w:rPr>
                <w:rFonts w:ascii="Calibri" w:hAnsi="Calibri"/>
                <w:sz w:val="19"/>
              </w:rPr>
              <w:t>20.66%</w:t>
            </w:r>
          </w:p>
        </w:tc>
      </w:tr>
      <w:tr>
        <w:trPr/>
        <w:tc>
          <w:tcPr>
            <w:tcW w:type="dxa" w:w="2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AI Model (optimal, t=0.485)</w:t>
            </w:r>
          </w:p>
        </w:tc>
        <w:tc>
          <w:tcPr>
            <w:tcW w:type="dxa" w:w="12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67.1%</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33,561</w:t>
            </w:r>
          </w:p>
        </w:tc>
        <w:tc>
          <w:tcPr>
            <w:tcW w:type="dxa" w:w="1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3.62%</w:t>
            </w:r>
          </w:p>
        </w:tc>
        <w:tc>
          <w:tcPr>
            <w:tcW w:type="dxa" w:w="1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$112.6M</w:t>
            </w:r>
          </w:p>
        </w:tc>
        <w:tc>
          <w:tcPr>
            <w:tcW w:type="dxa" w:w="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26.83%</w:t>
            </w:r>
          </w:p>
        </w:tc>
      </w:tr>
      <w:tr>
        <w:trPr/>
        <w:tc>
          <w:tcPr>
            <w:tcW w:type="dxa" w:w="2800"/>
            <w:vAlign w:val="center"/>
            <w:tcMar>
              <w:top w:w="80" w:type="dxa"/>
              <w:bottom w:w="80" w:type="dxa"/>
              <w:start w:w="120" w:type="dxa"/>
              <w:end w:w="120" w:type="dxa"/>
            </w:tcMar>
          </w:tcPr>
          <w:p>
            <w:pPr>
              <w:spacing w:before="40" w:after="40" w:lineRule="auto" w:line="240"/>
              <w:jc w:val="center"/>
            </w:pPr>
            <w:r/>
            <w:r>
              <w:rPr>
                <w:rFonts w:ascii="Calibri" w:hAnsi="Calibri"/>
                <w:sz w:val="19"/>
              </w:rPr>
              <w:t>Conservative (t=0.30)</w:t>
            </w:r>
          </w:p>
        </w:tc>
        <w:tc>
          <w:tcPr>
            <w:tcW w:type="dxa" w:w="1200"/>
            <w:vAlign w:val="center"/>
            <w:tcMar>
              <w:top w:w="80" w:type="dxa"/>
              <w:bottom w:w="80" w:type="dxa"/>
              <w:start w:w="120" w:type="dxa"/>
              <w:end w:w="120" w:type="dxa"/>
            </w:tcMar>
          </w:tcPr>
          <w:p>
            <w:pPr>
              <w:spacing w:before="40" w:after="40" w:lineRule="auto" w:line="240"/>
              <w:jc w:val="left"/>
            </w:pPr>
            <w:r/>
            <w:r>
              <w:rPr>
                <w:rFonts w:ascii="Calibri" w:hAnsi="Calibri"/>
                <w:sz w:val="19"/>
              </w:rPr>
              <w:t>40.1%</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20,038</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2.24%</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$72.0M</w:t>
            </w:r>
          </w:p>
        </w:tc>
        <w:tc>
          <w:tcPr>
            <w:tcW w:type="dxa" w:w="960"/>
            <w:vAlign w:val="center"/>
            <w:tcMar>
              <w:top w:w="80" w:type="dxa"/>
              <w:bottom w:w="80" w:type="dxa"/>
              <w:start w:w="120" w:type="dxa"/>
              <w:end w:w="120" w:type="dxa"/>
            </w:tcMar>
          </w:tcPr>
          <w:p>
            <w:pPr>
              <w:spacing w:before="40" w:after="40" w:lineRule="auto" w:line="240"/>
              <w:jc w:val="center"/>
            </w:pPr>
            <w:r/>
            <w:r>
              <w:rPr>
                <w:rFonts w:ascii="Calibri" w:hAnsi="Calibri"/>
                <w:sz w:val="19"/>
              </w:rPr>
              <w:t>28.73%</w:t>
            </w:r>
          </w:p>
        </w:tc>
      </w:tr>
      <w:tr>
        <w:trPr/>
        <w:tc>
          <w:tcPr>
            <w:tcW w:type="dxa" w:w="2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Aggressive (t=0.70)</w:t>
            </w:r>
          </w:p>
        </w:tc>
        <w:tc>
          <w:tcPr>
            <w:tcW w:type="dxa" w:w="12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89.4%</w:t>
            </w:r>
          </w:p>
        </w:tc>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44,701</w:t>
            </w:r>
          </w:p>
        </w:tc>
        <w:tc>
          <w:tcPr>
            <w:tcW w:type="dxa" w:w="1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5.77%</w:t>
            </w:r>
          </w:p>
        </w:tc>
        <w:tc>
          <w:tcPr>
            <w:tcW w:type="dxa" w:w="14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$133.4M</w:t>
            </w:r>
          </w:p>
        </w:tc>
        <w:tc>
          <w:tcPr>
            <w:tcW w:type="dxa" w:w="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23.87%</w:t>
            </w:r>
          </w:p>
        </w:tc>
      </w:tr>
      <w:tr>
        <w:trPr/>
        <w:tc>
          <w:tcPr>
            <w:tcW w:type="dxa" w:w="2800"/>
            <w:vAlign w:val="center"/>
            <w:tcMar>
              <w:top w:w="80" w:type="dxa"/>
              <w:bottom w:w="80" w:type="dxa"/>
              <w:start w:w="120" w:type="dxa"/>
              <w:end w:w="120" w:type="dxa"/>
            </w:tcMar>
          </w:tcPr>
          <w:p>
            <w:pPr>
              <w:spacing w:before="40" w:after="40" w:lineRule="auto" w:line="240"/>
              <w:jc w:val="center"/>
            </w:pPr>
            <w:r/>
            <w:r>
              <w:rPr>
                <w:rFonts w:ascii="Calibri" w:hAnsi="Calibri"/>
                <w:sz w:val="19"/>
              </w:rPr>
              <w:t>Current Rules (rule-based)</w:t>
            </w:r>
          </w:p>
        </w:tc>
        <w:tc>
          <w:tcPr>
            <w:tcW w:type="dxa" w:w="1200"/>
            <w:vAlign w:val="center"/>
            <w:tcMar>
              <w:top w:w="80" w:type="dxa"/>
              <w:bottom w:w="80" w:type="dxa"/>
              <w:start w:w="120" w:type="dxa"/>
              <w:end w:w="120" w:type="dxa"/>
            </w:tcMar>
          </w:tcPr>
          <w:p>
            <w:pPr>
              <w:spacing w:before="40" w:after="40" w:lineRule="auto" w:line="240"/>
              <w:jc w:val="left"/>
            </w:pPr>
            <w:r/>
            <w:r>
              <w:rPr>
                <w:rFonts w:ascii="Calibri" w:hAnsi="Calibri"/>
                <w:sz w:val="19"/>
              </w:rPr>
              <w:t>4.6%</w:t>
            </w:r>
          </w:p>
        </w:tc>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2,276</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2.50%</w:t>
            </w:r>
          </w:p>
        </w:tc>
        <w:tc>
          <w:tcPr>
            <w:tcW w:type="dxa" w:w="1400"/>
            <w:vAlign w:val="center"/>
            <w:tcMar>
              <w:top w:w="80" w:type="dxa"/>
              <w:bottom w:w="80" w:type="dxa"/>
              <w:start w:w="120" w:type="dxa"/>
              <w:end w:w="120" w:type="dxa"/>
            </w:tcMar>
          </w:tcPr>
          <w:p>
            <w:pPr>
              <w:spacing w:before="40" w:after="40" w:lineRule="auto" w:line="240"/>
              <w:jc w:val="center"/>
            </w:pPr>
            <w:r/>
            <w:r>
              <w:rPr>
                <w:rFonts w:ascii="Calibri" w:hAnsi="Calibri"/>
                <w:sz w:val="19"/>
              </w:rPr>
              <w:t>$8.1M</w:t>
            </w:r>
          </w:p>
        </w:tc>
        <w:tc>
          <w:tcPr>
            <w:tcW w:type="dxa" w:w="960"/>
            <w:vAlign w:val="center"/>
            <w:tcMar>
              <w:top w:w="80" w:type="dxa"/>
              <w:bottom w:w="80" w:type="dxa"/>
              <w:start w:w="120" w:type="dxa"/>
              <w:end w:w="120" w:type="dxa"/>
            </w:tcMar>
          </w:tcPr>
          <w:p>
            <w:pPr>
              <w:spacing w:before="40" w:after="40" w:lineRule="auto" w:line="240"/>
              <w:jc w:val="center"/>
            </w:pPr>
            <w:r/>
            <w:r>
              <w:rPr>
                <w:rFonts w:ascii="Calibri" w:hAnsi="Calibri"/>
                <w:sz w:val="19"/>
              </w:rPr>
              <w:t>28.30%</w:t>
            </w:r>
          </w:p>
        </w:tc>
      </w:tr>
    </w:tbl>
    <w:p>
      <w:pPr>
        <w:spacing w:before="80" w:after="80" w:lineRule="auto" w:line="264"/>
        <w:jc w:val="left"/>
      </w:pPr>
      <w:r>
        <w:rPr>
          <w:rFonts w:ascii="Calibri" w:hAnsi="Calibri"/>
          <w:i/>
          <w:color w:val="555555"/>
          <w:sz w:val="18"/>
        </w:rPr>
        <w:t>Table 12: Business simulation — scenario comparison ($625M portfolio)</w:t>
      </w:r>
    </w:p>
    <w:p>
      <w:pPr>
        <w:spacing w:before="160" w:after="80"/>
        <w:jc w:val="center"/>
      </w:pPr>
      <w:r>
        <w:drawing>
          <wp:inline xmlns:a="http://schemas.openxmlformats.org/drawingml/2006/main" xmlns:pic="http://schemas.openxmlformats.org/drawingml/2006/picture">
            <wp:extent cx="4572000" cy="2723482"/>
            <wp:docPr id="10" name="Picture 10"/>
            <wp:cNvGraphicFramePr>
              <a:graphicFrameLocks noChangeAspect="1"/>
            </wp:cNvGraphicFramePr>
            <a:graphic>
              <a:graphicData uri="http://schemas.openxmlformats.org/drawingml/2006/picture">
                <pic:pic>
                  <pic:nvPicPr>
                    <pic:cNvPr id="0" name="simulation_profit_comparison.png"/>
                    <pic:cNvPicPr/>
                  </pic:nvPicPr>
                  <pic:blipFill>
                    <a:blip r:embed="rId18"/>
                    <a:stretch>
                      <a:fillRect/>
                    </a:stretch>
                  </pic:blipFill>
                  <pic:spPr>
                    <a:xfrm>
                      <a:off x="0" y="0"/>
                      <a:ext cx="4572000" cy="2723482"/>
                    </a:xfrm>
                    <a:prstGeom prst="rect"/>
                  </pic:spPr>
                </pic:pic>
              </a:graphicData>
            </a:graphic>
          </wp:inline>
        </w:drawing>
      </w:r>
    </w:p>
    <w:p>
      <w:pPr>
        <w:spacing w:before="0" w:after="120" w:lineRule="auto" w:line="240"/>
        <w:jc w:val="center"/>
      </w:pPr>
      <w:r>
        <w:rPr>
          <w:rFonts w:ascii="Calibri" w:hAnsi="Calibri"/>
          <w:i/>
          <w:color w:val="555555"/>
          <w:sz w:val="18"/>
        </w:rPr>
        <w:t>Figure 10: Profit comparison across all policy scenarios</w:t>
      </w:r>
    </w:p>
    <w:p>
      <w:pPr>
        <w:pStyle w:val="Heading2"/>
      </w:pPr>
      <w:r>
        <w:t>8.3 Key Insight: Current Rules vs. AI Model</w:t>
      </w:r>
    </w:p>
    <w:p>
      <w:pPr>
        <w:spacing w:before="0" w:after="120" w:lineRule="auto" w:line="264"/>
        <w:jc w:val="left"/>
      </w:pPr>
      <w:r>
        <w:rPr>
          <w:rFonts w:ascii="Calibri" w:hAnsi="Calibri"/>
          <w:sz w:val="22"/>
        </w:rPr>
        <w:t>The AI model at its optimal threshold (0.485) generates $112.6 million in net profit with a 26.83% risk-adjusted return, approving 67.1% of applicants at a 3.62% default rate.</w:t>
      </w:r>
    </w:p>
    <w:p>
      <w:pPr>
        <w:spacing w:before="80" w:after="120" w:lineRule="auto" w:line="264"/>
        <w:jc w:val="left"/>
      </w:pPr>
      <w:r>
        <w:rPr>
          <w:rFonts w:ascii="Calibri" w:hAnsi="Calibri"/>
          <w:sz w:val="22"/>
        </w:rPr>
        <w:t>This represents a $104.5 million improvement over the current rule-based underwriting policy, which generates only $8.1 million in profit — a 1,298% improvement. The AI model achieves this by replacing a rigid single-variable filter (EXT_SOURCE_2 &lt; 0.30, which rejects 95.4% of applicants) with a multi-dimensional risk assessment that identifies low-risk applicants even among those with moderate external credit scores.</w:t>
      </w:r>
    </w:p>
    <w:p>
      <w:pPr>
        <w:pStyle w:val="Heading2"/>
      </w:pPr>
      <w:r>
        <w:t>8.4 Threshold Flexibility</w:t>
      </w:r>
    </w:p>
    <w:p>
      <w:pPr>
        <w:spacing w:before="0" w:after="120" w:lineRule="auto" w:line="264"/>
        <w:jc w:val="left"/>
      </w:pPr>
      <w:r>
        <w:rPr>
          <w:rFonts w:ascii="Calibri" w:hAnsi="Calibri"/>
          <w:sz w:val="22"/>
        </w:rPr>
        <w:t>The profit curve is relatively flat across thresholds 0.30 to 0.60, giving the risk team flexibility to adjust the decision threshold based on business cycle without retraining the model:</w:t>
      </w:r>
    </w:p>
    <w:p>
      <w:pPr>
        <w:pStyle w:val="ListBullet"/>
        <w:spacing w:before="0" w:after="160" w:lineRule="auto" w:line="280"/>
      </w:pPr>
      <w:r>
        <w:rPr>
          <w:rFonts w:ascii="Calibri" w:hAnsi="Calibri"/>
          <w:sz w:val="22"/>
        </w:rPr>
        <w:t>Conservative (t=0.30): Holds capital, 40% approval, 28.73% RAR, $72.0M profit — suitable for recessionary periods</w:t>
      </w:r>
    </w:p>
    <w:p>
      <w:pPr>
        <w:pStyle w:val="ListBullet"/>
        <w:spacing w:before="0" w:after="160" w:lineRule="auto" w:line="280"/>
      </w:pPr>
      <w:r>
        <w:rPr>
          <w:rFonts w:ascii="Calibri" w:hAnsi="Calibri"/>
          <w:sz w:val="22"/>
        </w:rPr>
        <w:t>Aggressive (t=0.70): Maximizes market share, 89% approval, 23.87% RAR, $133.4M profit — suitable for growth phases</w:t>
      </w:r>
    </w:p>
    <w:p>
      <w:pPr>
        <w:pStyle w:val="ListBullet"/>
        <w:spacing w:before="0" w:after="160" w:lineRule="auto" w:line="280"/>
      </w:pPr>
      <w:r>
        <w:rPr>
          <w:rFonts w:ascii="Calibri" w:hAnsi="Calibri"/>
          <w:sz w:val="22"/>
        </w:rPr>
        <w:t>Optimal (t=0.485): Balanced approach, 67% approval, 26.83% RAR, $112.6M profit</w:t>
      </w:r>
    </w:p>
    <w:p>
      <w:pPr>
        <w:spacing w:before="80" w:after="120" w:lineRule="auto" w:line="264"/>
        <w:jc w:val="left"/>
      </w:pPr>
      <w:r>
        <w:rPr>
          <w:rFonts w:ascii="Calibri" w:hAnsi="Calibri"/>
          <w:sz w:val="22"/>
        </w:rPr>
        <w:t>This flexibility is a key advantage over the current rule-based system, which requires manual rule changes to adjust portfolio risk exposure.</w:t>
      </w:r>
    </w:p>
    <w:p>
      <w:pPr>
        <w:spacing w:before="160" w:after="80"/>
        <w:jc w:val="center"/>
      </w:pPr>
      <w:r>
        <w:drawing>
          <wp:inline xmlns:a="http://schemas.openxmlformats.org/drawingml/2006/main" xmlns:pic="http://schemas.openxmlformats.org/drawingml/2006/picture">
            <wp:extent cx="4572000" cy="2266768"/>
            <wp:docPr id="11" name="Picture 11"/>
            <wp:cNvGraphicFramePr>
              <a:graphicFrameLocks noChangeAspect="1"/>
            </wp:cNvGraphicFramePr>
            <a:graphic>
              <a:graphicData uri="http://schemas.openxmlformats.org/drawingml/2006/picture">
                <pic:pic>
                  <pic:nvPicPr>
                    <pic:cNvPr id="0" name="simulation_profit_curve.png"/>
                    <pic:cNvPicPr/>
                  </pic:nvPicPr>
                  <pic:blipFill>
                    <a:blip r:embed="rId19"/>
                    <a:stretch>
                      <a:fillRect/>
                    </a:stretch>
                  </pic:blipFill>
                  <pic:spPr>
                    <a:xfrm>
                      <a:off x="0" y="0"/>
                      <a:ext cx="4572000" cy="2266768"/>
                    </a:xfrm>
                    <a:prstGeom prst="rect"/>
                  </pic:spPr>
                </pic:pic>
              </a:graphicData>
            </a:graphic>
          </wp:inline>
        </w:drawing>
      </w:r>
    </w:p>
    <w:p>
      <w:pPr>
        <w:spacing w:before="0" w:after="120" w:lineRule="auto" w:line="240"/>
        <w:jc w:val="center"/>
      </w:pPr>
      <w:r>
        <w:rPr>
          <w:rFonts w:ascii="Calibri" w:hAnsi="Calibri"/>
          <w:i/>
          <w:color w:val="555555"/>
          <w:sz w:val="18"/>
        </w:rPr>
        <w:t>Figure 11: Portfolio profit as a function of decision threshold</w:t>
      </w:r>
    </w:p>
    <w:p>
      <w:pPr>
        <w:pStyle w:val="Heading2"/>
      </w:pPr>
      <w:r>
        <w:t>8.5 Collections Optimization</w:t>
      </w:r>
    </w:p>
    <w:p>
      <w:pPr>
        <w:spacing w:before="0" w:after="120" w:lineRule="auto" w:line="264"/>
        <w:jc w:val="left"/>
      </w:pPr>
      <w:r>
        <w:rPr>
          <w:rFonts w:ascii="Calibri" w:hAnsi="Calibri"/>
          <w:sz w:val="22"/>
        </w:rPr>
        <w:t>The model's PD scores can also be used to prioritize collections on the active portfolio. Targeting the top 5% highest-risk accounts yields:</w:t>
      </w:r>
    </w:p>
    <w:tbl>
      <w:tblPr>
        <w:tblW w:type="dxa" w:w="9360"/>
        <w:jc w:val="left"/>
        <w:tblLayout w:type="fixed"/>
        <w:tblLook w:firstColumn="1" w:firstRow="1" w:lastColumn="0" w:lastRow="0" w:noHBand="0" w:noVBand="1" w:val="04A0"/>
        <w:tblInd w:type="dxa" w:w="120"/>
      </w:tblPr>
      <w:tblGrid>
        <w:gridCol w:w="3600"/>
        <w:gridCol w:w="2400"/>
        <w:gridCol w:w="3360"/>
      </w:tblGrid>
      <w:tr>
        <w:trPr/>
        <w:tc>
          <w:tcPr>
            <w:tcW w:type="dxa" w:w="3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Metric</w:t>
            </w:r>
          </w:p>
        </w:tc>
        <w:tc>
          <w:tcPr>
            <w:tcW w:type="dxa" w:w="24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Value</w:t>
            </w:r>
          </w:p>
        </w:tc>
        <w:tc>
          <w:tcPr>
            <w:tcW w:type="dxa" w:w="33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Note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AI-approved loans</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33,561</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Actual defaults in portfolio</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1,214</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3.62% default rate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Top-5% flagged for collections</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1,679</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5% of portfolio</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Defaults caught in top-5%</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119</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9.8% of all defaults</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Savings per intervened default</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$1,500</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Early intervention reduces LGD</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Total loss savings</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$178,500</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119 defaults x $1,500</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Collections cost</w:t>
            </w:r>
          </w:p>
        </w:tc>
        <w:tc>
          <w:tcPr>
            <w:tcW w:type="dxa" w:w="2400"/>
            <w:vAlign w:val="center"/>
            <w:tcMar>
              <w:top w:w="80" w:type="dxa"/>
              <w:bottom w:w="80" w:type="dxa"/>
              <w:start w:w="120" w:type="dxa"/>
              <w:end w:w="120" w:type="dxa"/>
            </w:tcMar>
          </w:tcPr>
          <w:p>
            <w:pPr>
              <w:spacing w:before="40" w:after="40" w:lineRule="auto" w:line="240"/>
              <w:jc w:val="left"/>
            </w:pPr>
            <w:r/>
            <w:r>
              <w:rPr>
                <w:rFonts w:ascii="Calibri" w:hAnsi="Calibri"/>
                <w:sz w:val="19"/>
              </w:rPr>
              <w:t>$125,925</w:t>
            </w:r>
          </w:p>
        </w:tc>
        <w:tc>
          <w:tcPr>
            <w:tcW w:type="dxa" w:w="3360"/>
            <w:vAlign w:val="center"/>
            <w:tcMar>
              <w:top w:w="80" w:type="dxa"/>
              <w:bottom w:w="80" w:type="dxa"/>
              <w:start w:w="120" w:type="dxa"/>
              <w:end w:w="120" w:type="dxa"/>
            </w:tcMar>
          </w:tcPr>
          <w:p>
            <w:pPr>
              <w:spacing w:before="40" w:after="40" w:lineRule="auto" w:line="240"/>
              <w:jc w:val="center"/>
            </w:pPr>
            <w:r/>
            <w:r>
              <w:rPr>
                <w:rFonts w:ascii="Calibri" w:hAnsi="Calibri"/>
                <w:sz w:val="19"/>
              </w:rPr>
              <w:t>$75 per account</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Net collections benefit</w:t>
            </w:r>
          </w:p>
        </w:tc>
        <w:tc>
          <w:tcPr>
            <w:tcW w:type="dxa" w:w="24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$52,575</w:t>
            </w:r>
          </w:p>
        </w:tc>
        <w:tc>
          <w:tcPr>
            <w:tcW w:type="dxa" w:w="33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Savings minus costs</w:t>
            </w:r>
          </w:p>
        </w:tc>
      </w:tr>
    </w:tbl>
    <w:p>
      <w:pPr>
        <w:spacing w:before="80" w:after="80" w:lineRule="auto" w:line="264"/>
        <w:jc w:val="left"/>
      </w:pPr>
      <w:r>
        <w:rPr>
          <w:rFonts w:ascii="Calibri" w:hAnsi="Calibri"/>
          <w:i/>
          <w:color w:val="555555"/>
          <w:sz w:val="18"/>
        </w:rPr>
        <w:t>Table 13: Collections simulation results</w:t>
      </w:r>
    </w:p>
    <w:p>
      <w:pPr>
        <w:spacing w:before="160" w:after="80"/>
        <w:jc w:val="center"/>
      </w:pPr>
      <w:r>
        <w:drawing>
          <wp:inline xmlns:a="http://schemas.openxmlformats.org/drawingml/2006/main" xmlns:pic="http://schemas.openxmlformats.org/drawingml/2006/picture">
            <wp:extent cx="4754880" cy="1956324"/>
            <wp:docPr id="12" name="Picture 12"/>
            <wp:cNvGraphicFramePr>
              <a:graphicFrameLocks noChangeAspect="1"/>
            </wp:cNvGraphicFramePr>
            <a:graphic>
              <a:graphicData uri="http://schemas.openxmlformats.org/drawingml/2006/picture">
                <pic:pic>
                  <pic:nvPicPr>
                    <pic:cNvPr id="0" name="simulation_risk_buckets.png"/>
                    <pic:cNvPicPr/>
                  </pic:nvPicPr>
                  <pic:blipFill>
                    <a:blip r:embed="rId20"/>
                    <a:stretch>
                      <a:fillRect/>
                    </a:stretch>
                  </pic:blipFill>
                  <pic:spPr>
                    <a:xfrm>
                      <a:off x="0" y="0"/>
                      <a:ext cx="4754880" cy="1956324"/>
                    </a:xfrm>
                    <a:prstGeom prst="rect"/>
                  </pic:spPr>
                </pic:pic>
              </a:graphicData>
            </a:graphic>
          </wp:inline>
        </w:drawing>
      </w:r>
    </w:p>
    <w:p>
      <w:pPr>
        <w:spacing w:before="0" w:after="120" w:lineRule="auto" w:line="240"/>
        <w:jc w:val="center"/>
      </w:pPr>
      <w:r>
        <w:rPr>
          <w:rFonts w:ascii="Calibri" w:hAnsi="Calibri"/>
          <w:i/>
          <w:color w:val="555555"/>
          <w:sz w:val="18"/>
        </w:rPr>
        <w:t>Figure 12: Default rate by risk bucket</w:t>
      </w:r>
    </w:p>
    <w:p>
      <w:r>
        <w:br w:type="page"/>
      </w:r>
    </w:p>
    <w:p>
      <w:pPr>
        <w:pStyle w:val="Heading1"/>
      </w:pPr>
      <w:r>
        <w:t>9. Risk Segmentation &amp; Strategy</w:t>
      </w:r>
    </w:p>
    <w:p>
      <w:pPr>
        <w:pStyle w:val="Heading2"/>
      </w:pPr>
      <w:r>
        <w:t>9.1 Five-Tier Risk Bucket System</w:t>
      </w:r>
    </w:p>
    <w:p>
      <w:pPr>
        <w:spacing w:before="0" w:after="120" w:lineRule="auto" w:line="264"/>
        <w:jc w:val="left"/>
      </w:pPr>
      <w:r>
        <w:rPr>
          <w:rFonts w:ascii="Calibri" w:hAnsi="Calibri"/>
          <w:sz w:val="22"/>
        </w:rPr>
        <w:t>Applicants are segmented into five risk tiers based on their predicted probability of default, enabling differentiated strategies for each segment.</w:t>
      </w:r>
    </w:p>
    <w:tbl>
      <w:tblPr>
        <w:tblW w:type="dxa" w:w="9360"/>
        <w:jc w:val="left"/>
        <w:tblLayout w:type="fixed"/>
        <w:tblLook w:firstColumn="1" w:firstRow="1" w:lastColumn="0" w:lastRow="0" w:noHBand="0" w:noVBand="1" w:val="04A0"/>
        <w:tblInd w:type="dxa" w:w="120"/>
      </w:tblPr>
      <w:tblGrid>
        <w:gridCol w:w="2200"/>
        <w:gridCol w:w="1200"/>
        <w:gridCol w:w="2000"/>
        <w:gridCol w:w="3960"/>
      </w:tblGrid>
      <w:tr>
        <w:trPr/>
        <w:tc>
          <w:tcPr>
            <w:tcW w:type="dxa" w:w="2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Risk Bucket</w:t>
            </w:r>
          </w:p>
        </w:tc>
        <w:tc>
          <w:tcPr>
            <w:tcW w:type="dxa" w:w="1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PD Range</w:t>
            </w:r>
          </w:p>
        </w:tc>
        <w:tc>
          <w:tcPr>
            <w:tcW w:type="dxa" w:w="20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Underwriting</w:t>
            </w:r>
          </w:p>
        </w:tc>
        <w:tc>
          <w:tcPr>
            <w:tcW w:type="dxa" w:w="39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Strategy</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A — Lowest Risk</w:t>
            </w:r>
          </w:p>
        </w:tc>
        <w:tc>
          <w:tcPr>
            <w:tcW w:type="dxa" w:w="1200"/>
            <w:vAlign w:val="center"/>
            <w:tcMar>
              <w:top w:w="80" w:type="dxa"/>
              <w:bottom w:w="80" w:type="dxa"/>
              <w:start w:w="120" w:type="dxa"/>
              <w:end w:w="120" w:type="dxa"/>
            </w:tcMar>
          </w:tcPr>
          <w:p>
            <w:pPr>
              <w:spacing w:before="40" w:after="40" w:lineRule="auto" w:line="240"/>
              <w:jc w:val="left"/>
            </w:pPr>
            <w:r/>
            <w:r>
              <w:rPr>
                <w:rFonts w:ascii="Calibri" w:hAnsi="Calibri"/>
                <w:sz w:val="19"/>
              </w:rPr>
              <w:t>&lt; 2%</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Auto-approve</w:t>
            </w:r>
          </w:p>
        </w:tc>
        <w:tc>
          <w:tcPr>
            <w:tcW w:type="dxa" w:w="3960"/>
            <w:vAlign w:val="center"/>
            <w:tcMar>
              <w:top w:w="80" w:type="dxa"/>
              <w:bottom w:w="80" w:type="dxa"/>
              <w:start w:w="120" w:type="dxa"/>
              <w:end w:w="120" w:type="dxa"/>
            </w:tcMar>
          </w:tcPr>
          <w:p>
            <w:pPr>
              <w:spacing w:before="40" w:after="40" w:lineRule="auto" w:line="240"/>
              <w:jc w:val="center"/>
            </w:pPr>
            <w:r/>
            <w:r>
              <w:rPr>
                <w:rFonts w:ascii="Calibri" w:hAnsi="Calibri"/>
                <w:sz w:val="19"/>
              </w:rPr>
              <w:t>Preferred rates, fast funding</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B — Low Risk</w:t>
            </w:r>
          </w:p>
        </w:tc>
        <w:tc>
          <w:tcPr>
            <w:tcW w:type="dxa" w:w="12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2 - 5%</w:t>
            </w:r>
          </w:p>
        </w:tc>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Auto-approve</w:t>
            </w:r>
          </w:p>
        </w:tc>
        <w:tc>
          <w:tcPr>
            <w:tcW w:type="dxa" w:w="3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Standard terms</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C — Medium Risk</w:t>
            </w:r>
          </w:p>
        </w:tc>
        <w:tc>
          <w:tcPr>
            <w:tcW w:type="dxa" w:w="1200"/>
            <w:vAlign w:val="center"/>
            <w:tcMar>
              <w:top w:w="80" w:type="dxa"/>
              <w:bottom w:w="80" w:type="dxa"/>
              <w:start w:w="120" w:type="dxa"/>
              <w:end w:w="120" w:type="dxa"/>
            </w:tcMar>
          </w:tcPr>
          <w:p>
            <w:pPr>
              <w:spacing w:before="40" w:after="40" w:lineRule="auto" w:line="240"/>
              <w:jc w:val="left"/>
            </w:pPr>
            <w:r/>
            <w:r>
              <w:rPr>
                <w:rFonts w:ascii="Calibri" w:hAnsi="Calibri"/>
                <w:sz w:val="19"/>
              </w:rPr>
              <w:t>5 - 10%</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Standard review</w:t>
            </w:r>
          </w:p>
        </w:tc>
        <w:tc>
          <w:tcPr>
            <w:tcW w:type="dxa" w:w="3960"/>
            <w:vAlign w:val="center"/>
            <w:tcMar>
              <w:top w:w="80" w:type="dxa"/>
              <w:bottom w:w="80" w:type="dxa"/>
              <w:start w:w="120" w:type="dxa"/>
              <w:end w:w="120" w:type="dxa"/>
            </w:tcMar>
          </w:tcPr>
          <w:p>
            <w:pPr>
              <w:spacing w:before="40" w:after="40" w:lineRule="auto" w:line="240"/>
              <w:jc w:val="center"/>
            </w:pPr>
            <w:r/>
            <w:r>
              <w:rPr>
                <w:rFonts w:ascii="Calibri" w:hAnsi="Calibri"/>
                <w:sz w:val="19"/>
              </w:rPr>
              <w:t>Standard terms, document check</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 — High Risk</w:t>
            </w:r>
          </w:p>
        </w:tc>
        <w:tc>
          <w:tcPr>
            <w:tcW w:type="dxa" w:w="12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10 - 30%</w:t>
            </w:r>
          </w:p>
        </w:tc>
        <w:tc>
          <w:tcPr>
            <w:tcW w:type="dxa" w:w="20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Enhanced review</w:t>
            </w:r>
          </w:p>
        </w:tc>
        <w:tc>
          <w:tcPr>
            <w:tcW w:type="dxa" w:w="39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Higher APR, reduced amount</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E — Highest Risk</w:t>
            </w:r>
          </w:p>
        </w:tc>
        <w:tc>
          <w:tcPr>
            <w:tcW w:type="dxa" w:w="1200"/>
            <w:vAlign w:val="center"/>
            <w:tcMar>
              <w:top w:w="80" w:type="dxa"/>
              <w:bottom w:w="80" w:type="dxa"/>
              <w:start w:w="120" w:type="dxa"/>
              <w:end w:w="120" w:type="dxa"/>
            </w:tcMar>
          </w:tcPr>
          <w:p>
            <w:pPr>
              <w:spacing w:before="40" w:after="40" w:lineRule="auto" w:line="240"/>
              <w:jc w:val="left"/>
            </w:pPr>
            <w:r/>
            <w:r>
              <w:rPr>
                <w:rFonts w:ascii="Calibri" w:hAnsi="Calibri"/>
                <w:sz w:val="19"/>
              </w:rPr>
              <w:t>&gt; 30%</w:t>
            </w:r>
          </w:p>
        </w:tc>
        <w:tc>
          <w:tcPr>
            <w:tcW w:type="dxa" w:w="2000"/>
            <w:vAlign w:val="center"/>
            <w:tcMar>
              <w:top w:w="80" w:type="dxa"/>
              <w:bottom w:w="80" w:type="dxa"/>
              <w:start w:w="120" w:type="dxa"/>
              <w:end w:w="120" w:type="dxa"/>
            </w:tcMar>
          </w:tcPr>
          <w:p>
            <w:pPr>
              <w:spacing w:before="40" w:after="40" w:lineRule="auto" w:line="240"/>
              <w:jc w:val="center"/>
            </w:pPr>
            <w:r/>
            <w:r>
              <w:rPr>
                <w:rFonts w:ascii="Calibri" w:hAnsi="Calibri"/>
                <w:sz w:val="19"/>
              </w:rPr>
              <w:t>Likely decline</w:t>
            </w:r>
          </w:p>
        </w:tc>
        <w:tc>
          <w:tcPr>
            <w:tcW w:type="dxa" w:w="3960"/>
            <w:vAlign w:val="center"/>
            <w:tcMar>
              <w:top w:w="80" w:type="dxa"/>
              <w:bottom w:w="80" w:type="dxa"/>
              <w:start w:w="120" w:type="dxa"/>
              <w:end w:w="120" w:type="dxa"/>
            </w:tcMar>
          </w:tcPr>
          <w:p>
            <w:pPr>
              <w:spacing w:before="40" w:after="40" w:lineRule="auto" w:line="240"/>
              <w:jc w:val="center"/>
            </w:pPr>
            <w:r/>
            <w:r>
              <w:rPr>
                <w:rFonts w:ascii="Calibri" w:hAnsi="Calibri"/>
                <w:sz w:val="19"/>
              </w:rPr>
              <w:t>Manual underwriting only</w:t>
            </w:r>
          </w:p>
        </w:tc>
      </w:tr>
    </w:tbl>
    <w:p>
      <w:pPr>
        <w:spacing w:before="80" w:after="80" w:lineRule="auto" w:line="264"/>
        <w:jc w:val="left"/>
      </w:pPr>
      <w:r>
        <w:rPr>
          <w:rFonts w:ascii="Calibri" w:hAnsi="Calibri"/>
          <w:i/>
          <w:color w:val="555555"/>
          <w:sz w:val="18"/>
        </w:rPr>
        <w:t>Table 14: Risk bucket definitions and segment-specific strategies</w:t>
      </w:r>
    </w:p>
    <w:p>
      <w:pPr>
        <w:pStyle w:val="Heading2"/>
      </w:pPr>
      <w:r>
        <w:t>9.2 Segment-Specific Strategies</w:t>
      </w:r>
    </w:p>
    <w:p>
      <w:pPr>
        <w:spacing w:before="0" w:after="120" w:lineRule="auto" w:line="264"/>
        <w:jc w:val="left"/>
      </w:pPr>
      <w:r>
        <w:rPr>
          <w:rFonts w:ascii="Calibri" w:hAnsi="Calibri"/>
          <w:b/>
          <w:sz w:val="22"/>
        </w:rPr>
        <w:t>Underwriting</w:t>
      </w:r>
    </w:p>
    <w:p>
      <w:pPr>
        <w:pStyle w:val="ListBullet"/>
        <w:spacing w:before="0" w:after="160" w:lineRule="auto" w:line="280"/>
      </w:pPr>
      <w:r>
        <w:rPr>
          <w:rFonts w:ascii="Calibri" w:hAnsi="Calibri"/>
          <w:sz w:val="22"/>
        </w:rPr>
        <w:t>Buckets A-B: Fully automated approval with no manual review required</w:t>
      </w:r>
    </w:p>
    <w:p>
      <w:pPr>
        <w:pStyle w:val="ListBullet"/>
        <w:spacing w:before="0" w:after="160" w:lineRule="auto" w:line="280"/>
      </w:pPr>
      <w:r>
        <w:rPr>
          <w:rFonts w:ascii="Calibri" w:hAnsi="Calibri"/>
          <w:sz w:val="22"/>
        </w:rPr>
        <w:t>Bucket C: Standard review with identity and income verification</w:t>
      </w:r>
    </w:p>
    <w:p>
      <w:pPr>
        <w:pStyle w:val="ListBullet"/>
        <w:spacing w:before="0" w:after="160" w:lineRule="auto" w:line="280"/>
      </w:pPr>
      <w:r>
        <w:rPr>
          <w:rFonts w:ascii="Calibri" w:hAnsi="Calibri"/>
          <w:sz w:val="22"/>
        </w:rPr>
        <w:t>Bucket D: Enhanced review requiring additional documentation and senior underwriter approval; consider reduced loan amounts or higher APRs</w:t>
      </w:r>
    </w:p>
    <w:p>
      <w:pPr>
        <w:pStyle w:val="ListBullet"/>
        <w:spacing w:before="0" w:after="160" w:lineRule="auto" w:line="280"/>
      </w:pPr>
      <w:r>
        <w:rPr>
          <w:rFonts w:ascii="Calibri" w:hAnsi="Calibri"/>
          <w:sz w:val="22"/>
        </w:rPr>
        <w:t>Bucket E: Decline by default; manual override only with documented justification</w:t>
      </w:r>
    </w:p>
    <w:p>
      <w:pPr>
        <w:spacing w:before="0" w:after="120" w:lineRule="auto" w:line="264"/>
        <w:jc w:val="left"/>
      </w:pPr>
      <w:r>
        <w:rPr>
          <w:rFonts w:ascii="Calibri" w:hAnsi="Calibri"/>
          <w:b/>
          <w:sz w:val="22"/>
        </w:rPr>
        <w:t>Pricing</w:t>
      </w:r>
    </w:p>
    <w:p>
      <w:pPr>
        <w:pStyle w:val="ListBullet"/>
        <w:spacing w:before="0" w:after="160" w:lineRule="auto" w:line="280"/>
      </w:pPr>
      <w:r>
        <w:rPr>
          <w:rFonts w:ascii="Calibri" w:hAnsi="Calibri"/>
          <w:sz w:val="22"/>
        </w:rPr>
        <w:t>Buckets A-B: Offer competitive APRs (prime - 50bps) to retain high-quality borrowers</w:t>
      </w:r>
    </w:p>
    <w:p>
      <w:pPr>
        <w:pStyle w:val="ListBullet"/>
        <w:spacing w:before="0" w:after="160" w:lineRule="auto" w:line="280"/>
      </w:pPr>
      <w:r>
        <w:rPr>
          <w:rFonts w:ascii="Calibri" w:hAnsi="Calibri"/>
          <w:sz w:val="22"/>
        </w:rPr>
        <w:t>Bucket C: Standard rates (prime + 200-400bps)</w:t>
      </w:r>
    </w:p>
    <w:p>
      <w:pPr>
        <w:pStyle w:val="ListBullet"/>
        <w:spacing w:before="0" w:after="160" w:lineRule="auto" w:line="280"/>
      </w:pPr>
      <w:r>
        <w:rPr>
          <w:rFonts w:ascii="Calibri" w:hAnsi="Calibri"/>
          <w:sz w:val="22"/>
        </w:rPr>
        <w:t>Bucket D: Risk-adjusted pricing (prime + 600-900bps) with reduced loan-to-income limits</w:t>
      </w:r>
    </w:p>
    <w:p>
      <w:pPr>
        <w:spacing w:before="0" w:after="120" w:lineRule="auto" w:line="264"/>
        <w:jc w:val="left"/>
      </w:pPr>
      <w:r>
        <w:rPr>
          <w:rFonts w:ascii="Calibri" w:hAnsi="Calibri"/>
          <w:b/>
          <w:sz w:val="22"/>
        </w:rPr>
        <w:t>Collections</w:t>
      </w:r>
    </w:p>
    <w:p>
      <w:pPr>
        <w:pStyle w:val="ListBullet"/>
        <w:spacing w:before="0" w:after="160" w:lineRule="auto" w:line="280"/>
      </w:pPr>
      <w:r>
        <w:rPr>
          <w:rFonts w:ascii="Calibri" w:hAnsi="Calibri"/>
          <w:sz w:val="22"/>
        </w:rPr>
        <w:t>Buckets D-E: Proactive monitoring — flag accounts for early intervention within the first 30 days</w:t>
      </w:r>
    </w:p>
    <w:p>
      <w:pPr>
        <w:pStyle w:val="ListBullet"/>
        <w:spacing w:before="0" w:after="160" w:lineRule="auto" w:line="280"/>
      </w:pPr>
      <w:r>
        <w:rPr>
          <w:rFonts w:ascii="Calibri" w:hAnsi="Calibri"/>
          <w:sz w:val="22"/>
        </w:rPr>
        <w:t>Buckets A-C: Standard collections workflow; intervention only after 60+ days past due</w:t>
      </w:r>
    </w:p>
    <w:p>
      <w:pPr>
        <w:pStyle w:val="Heading2"/>
      </w:pPr>
      <w:r>
        <w:t>9.3 Portfolio Allocation Recommendations</w:t>
      </w:r>
    </w:p>
    <w:p>
      <w:pPr>
        <w:spacing w:before="0" w:after="120" w:lineRule="auto" w:line="264"/>
        <w:jc w:val="left"/>
      </w:pPr>
      <w:r>
        <w:rPr>
          <w:rFonts w:ascii="Calibri" w:hAnsi="Calibri"/>
          <w:sz w:val="22"/>
        </w:rPr>
        <w:t>Based on the simulation results, we recommend the following portfolio allocation:</w:t>
      </w:r>
    </w:p>
    <w:p>
      <w:pPr>
        <w:pStyle w:val="ListBullet"/>
        <w:spacing w:before="0" w:after="160" w:lineRule="auto" w:line="280"/>
      </w:pPr>
      <w:r>
        <w:rPr>
          <w:rFonts w:ascii="Calibri" w:hAnsi="Calibri"/>
          <w:sz w:val="22"/>
        </w:rPr>
        <w:t>Target 60-70% approval rate to balance market reach with risk control</w:t>
      </w:r>
    </w:p>
    <w:p>
      <w:pPr>
        <w:pStyle w:val="ListBullet"/>
        <w:spacing w:before="0" w:after="160" w:lineRule="auto" w:line="280"/>
      </w:pPr>
      <w:r>
        <w:rPr>
          <w:rFonts w:ascii="Calibri" w:hAnsi="Calibri"/>
          <w:sz w:val="22"/>
        </w:rPr>
        <w:t>Maintain exposure concentration: no more than 30% in Bucket D accounts</w:t>
      </w:r>
    </w:p>
    <w:p>
      <w:pPr>
        <w:pStyle w:val="ListBullet"/>
        <w:spacing w:before="0" w:after="160" w:lineRule="auto" w:line="280"/>
      </w:pPr>
      <w:r>
        <w:rPr>
          <w:rFonts w:ascii="Calibri" w:hAnsi="Calibri"/>
          <w:sz w:val="22"/>
        </w:rPr>
        <w:t>Monitor Bucket E decline reasons — if a pattern emerges, consider product adjustments</w:t>
      </w:r>
    </w:p>
    <w:p>
      <w:pPr>
        <w:pStyle w:val="ListBullet"/>
        <w:spacing w:before="0" w:after="160" w:lineRule="auto" w:line="280"/>
      </w:pPr>
      <w:r>
        <w:rPr>
          <w:rFonts w:ascii="Calibri" w:hAnsi="Calibri"/>
          <w:sz w:val="22"/>
        </w:rPr>
        <w:t>Review threshold quarterly against portfolio performance and macroeconomic conditions</w:t>
      </w:r>
    </w:p>
    <w:p>
      <w:r>
        <w:br w:type="page"/>
      </w:r>
    </w:p>
    <w:p>
      <w:pPr>
        <w:pStyle w:val="Heading1"/>
      </w:pPr>
      <w:r>
        <w:t>10. Limitations &amp; Future Work</w:t>
      </w:r>
    </w:p>
    <w:p>
      <w:pPr>
        <w:pStyle w:val="Heading2"/>
      </w:pPr>
      <w:r>
        <w:t>10.1 Current Limitations</w:t>
      </w:r>
    </w:p>
    <w:p>
      <w:pPr>
        <w:spacing w:before="0" w:after="120" w:lineRule="auto" w:line="264"/>
        <w:jc w:val="left"/>
      </w:pPr>
      <w:r>
        <w:rPr>
          <w:rFonts w:ascii="Calibri" w:hAnsi="Calibri"/>
          <w:b/>
          <w:sz w:val="22"/>
        </w:rPr>
        <w:t>Model Performance Gap</w:t>
      </w:r>
    </w:p>
    <w:p>
      <w:pPr>
        <w:spacing w:before="0" w:after="120" w:lineRule="auto" w:line="264"/>
        <w:jc w:val="left"/>
      </w:pPr>
      <w:r>
        <w:rPr>
          <w:rFonts w:ascii="Calibri" w:hAnsi="Calibri"/>
          <w:sz w:val="22"/>
        </w:rPr>
        <w:t>The LightGBM model achieves AUC of 0.768, below the aspirational target of 0.80. While the model provides substantial business value, a 0.032 gap represents meaningful room for improvement. This gap is primarily attributed to the single-table feature set, which does not leverage the full richness of the multi-table Home Credit data structure.</w:t>
      </w:r>
    </w:p>
    <w:p>
      <w:pPr>
        <w:spacing w:before="0" w:after="120" w:lineRule="auto" w:line="264"/>
        <w:jc w:val="left"/>
      </w:pPr>
      <w:r>
        <w:rPr>
          <w:rFonts w:ascii="Calibri" w:hAnsi="Calibri"/>
          <w:b/>
          <w:sz w:val="22"/>
        </w:rPr>
        <w:t>Single-Table Features</w:t>
      </w:r>
    </w:p>
    <w:p>
      <w:pPr>
        <w:spacing w:before="0" w:after="120" w:lineRule="auto" w:line="264"/>
        <w:jc w:val="left"/>
      </w:pPr>
      <w:r>
        <w:rPr>
          <w:rFonts w:ascii="Calibri" w:hAnsi="Calibri"/>
          <w:sz w:val="22"/>
        </w:rPr>
        <w:t>Only the main applicant table (application_train) was used for feature engineering. The dataset contains seven additional tables (bureau, previous applications, installments, etc.) that could provide significant additional predictive power through multi-table aggregation.</w:t>
      </w:r>
    </w:p>
    <w:p>
      <w:pPr>
        <w:spacing w:before="0" w:after="120" w:lineRule="auto" w:line="264"/>
        <w:jc w:val="left"/>
      </w:pPr>
      <w:r>
        <w:rPr>
          <w:rFonts w:ascii="Calibri" w:hAnsi="Calibri"/>
          <w:b/>
          <w:sz w:val="22"/>
        </w:rPr>
        <w:t>No Temporal Validation</w:t>
      </w:r>
    </w:p>
    <w:p>
      <w:pPr>
        <w:spacing w:before="0" w:after="120" w:lineRule="auto" w:line="264"/>
        <w:jc w:val="left"/>
      </w:pPr>
      <w:r>
        <w:rPr>
          <w:rFonts w:ascii="Calibri" w:hAnsi="Calibri"/>
          <w:sz w:val="22"/>
        </w:rPr>
        <w:t>The train/test split is random rather than time-based. In a production setting, models are trained on historical data and evaluated on future applicants. Without temporal validation, look-ahead bias is possible and model performance in future periods is uncertain.</w:t>
      </w:r>
    </w:p>
    <w:p>
      <w:pPr>
        <w:spacing w:before="0" w:after="120" w:lineRule="auto" w:line="264"/>
        <w:jc w:val="left"/>
      </w:pPr>
      <w:r>
        <w:rPr>
          <w:rFonts w:ascii="Calibri" w:hAnsi="Calibri"/>
          <w:b/>
          <w:sz w:val="22"/>
        </w:rPr>
        <w:t>No Formal Fairness Audit</w:t>
      </w:r>
    </w:p>
    <w:p>
      <w:pPr>
        <w:spacing w:before="0" w:after="120" w:lineRule="auto" w:line="264"/>
        <w:jc w:val="left"/>
      </w:pPr>
      <w:r>
        <w:rPr>
          <w:rFonts w:ascii="Calibri" w:hAnsi="Calibri"/>
          <w:sz w:val="22"/>
        </w:rPr>
        <w:t>CODE_GENDER_M appears in the top 5 features by SHAP importance. While this does not necessarily indicate bias (gender may proxy for legitimate financial factors correlated with gender in the training data), a formal disparate impact analysis has not been completed. Under the Equal Credit Opportunity Act (ECOA) and Regulation B, lenders must ensure credit decisions are not discriminatory.</w:t>
      </w:r>
    </w:p>
    <w:p>
      <w:pPr>
        <w:spacing w:before="0" w:after="120" w:lineRule="auto" w:line="264"/>
        <w:jc w:val="left"/>
      </w:pPr>
      <w:r>
        <w:rPr>
          <w:rFonts w:ascii="Calibri" w:hAnsi="Calibri"/>
          <w:b/>
          <w:sz w:val="22"/>
        </w:rPr>
        <w:t>Precision Limitations</w:t>
      </w:r>
    </w:p>
    <w:p>
      <w:pPr>
        <w:spacing w:before="0" w:after="120" w:lineRule="auto" w:line="264"/>
        <w:jc w:val="left"/>
      </w:pPr>
      <w:r>
        <w:rPr>
          <w:rFonts w:ascii="Calibri" w:hAnsi="Calibri"/>
          <w:sz w:val="22"/>
        </w:rPr>
        <w:t>At 17% precision, flagged applicants include many false positives, increasing collections costs and potentially harming customer experience. Higher precision models or multi-stage filters could reduce this operational burden.</w:t>
      </w:r>
    </w:p>
    <w:p>
      <w:pPr>
        <w:pStyle w:val="Heading2"/>
      </w:pPr>
      <w:r>
        <w:t>10.2 Planned Enhancements</w:t>
      </w:r>
    </w:p>
    <w:tbl>
      <w:tblPr>
        <w:tblW w:type="dxa" w:w="9360"/>
        <w:jc w:val="left"/>
        <w:tblLayout w:type="fixed"/>
        <w:tblLook w:firstColumn="1" w:firstRow="1" w:lastColumn="0" w:lastRow="0" w:noHBand="0" w:noVBand="1" w:val="04A0"/>
        <w:tblInd w:type="dxa" w:w="120"/>
      </w:tblPr>
      <w:tblGrid>
        <w:gridCol w:w="2200"/>
        <w:gridCol w:w="3600"/>
        <w:gridCol w:w="3560"/>
      </w:tblGrid>
      <w:tr>
        <w:trPr/>
        <w:tc>
          <w:tcPr>
            <w:tcW w:type="dxa" w:w="2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Enhancement</w:t>
            </w:r>
          </w:p>
        </w:tc>
        <w:tc>
          <w:tcPr>
            <w:tcW w:type="dxa" w:w="3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Description</w:t>
            </w:r>
          </w:p>
        </w:tc>
        <w:tc>
          <w:tcPr>
            <w:tcW w:type="dxa" w:w="35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Expected Impact</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Multi-table aggregation</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Incorporate bureau, previous applications, and installment payment tables</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Target: +0.02-0.03 AUC lift</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Fairness assessment</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Disparate impact ratio and bias mitigation analysis</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Required for regulatory compliance</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Model calibration</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Platt scaling or isotonic regression for calibrated probabilities</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Needed for expected loss calculations</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Production inference API</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Package the inference module as a deployable API service</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Required for real-time underwriting</w:t>
            </w:r>
          </w:p>
        </w:tc>
      </w:tr>
      <w:tr>
        <w:trPr/>
        <w:tc>
          <w:tcPr>
            <w:tcW w:type="dxa" w:w="2200"/>
            <w:vAlign w:val="center"/>
            <w:tcMar>
              <w:top w:w="80" w:type="dxa"/>
              <w:bottom w:w="80" w:type="dxa"/>
              <w:start w:w="120" w:type="dxa"/>
              <w:end w:w="120" w:type="dxa"/>
            </w:tcMar>
          </w:tcPr>
          <w:p>
            <w:pPr>
              <w:spacing w:before="40" w:after="40" w:lineRule="auto" w:line="240"/>
              <w:jc w:val="center"/>
            </w:pPr>
            <w:r/>
            <w:r>
              <w:rPr>
                <w:rFonts w:ascii="Calibri" w:hAnsi="Calibri"/>
                <w:sz w:val="19"/>
              </w:rPr>
              <w:t>Temporal validation</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Time-based train/test split with stability analysis</w:t>
            </w:r>
          </w:p>
        </w:tc>
        <w:tc>
          <w:tcPr>
            <w:tcW w:type="dxa" w:w="3560"/>
            <w:vAlign w:val="center"/>
            <w:tcMar>
              <w:top w:w="80" w:type="dxa"/>
              <w:bottom w:w="80" w:type="dxa"/>
              <w:start w:w="120" w:type="dxa"/>
              <w:end w:w="120" w:type="dxa"/>
            </w:tcMar>
          </w:tcPr>
          <w:p>
            <w:pPr>
              <w:spacing w:before="40" w:after="40" w:lineRule="auto" w:line="240"/>
              <w:jc w:val="center"/>
            </w:pPr>
            <w:r/>
            <w:r>
              <w:rPr>
                <w:rFonts w:ascii="Calibri" w:hAnsi="Calibri"/>
                <w:sz w:val="19"/>
              </w:rPr>
              <w:t>Confirms generalization to future periods</w:t>
            </w:r>
          </w:p>
        </w:tc>
      </w:tr>
      <w:tr>
        <w:trPr/>
        <w:tc>
          <w:tcPr>
            <w:tcW w:type="dxa" w:w="2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Bayesian hyperparameter tuning</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Optuna-based optimization on top models</w:t>
            </w:r>
          </w:p>
        </w:tc>
        <w:tc>
          <w:tcPr>
            <w:tcW w:type="dxa" w:w="3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May close the 0.032 AUC gap</w:t>
            </w:r>
          </w:p>
        </w:tc>
      </w:tr>
    </w:tbl>
    <w:p>
      <w:pPr>
        <w:spacing w:before="80" w:after="80" w:lineRule="auto" w:line="264"/>
        <w:jc w:val="left"/>
      </w:pPr>
      <w:r>
        <w:rPr>
          <w:rFonts w:ascii="Calibri" w:hAnsi="Calibri"/>
          <w:i/>
          <w:color w:val="555555"/>
          <w:sz w:val="18"/>
        </w:rPr>
        <w:t>Table 15: Planned enhancements and expected impact</w:t>
      </w:r>
    </w:p>
    <w:p>
      <w:pPr>
        <w:pStyle w:val="Heading2"/>
      </w:pPr>
      <w:r>
        <w:t>10.3 Deployment Considerations</w:t>
      </w:r>
    </w:p>
    <w:p>
      <w:pPr>
        <w:pStyle w:val="ListBullet"/>
        <w:spacing w:before="0" w:after="160" w:lineRule="auto" w:line="280"/>
      </w:pPr>
      <w:r>
        <w:rPr>
          <w:rFonts w:ascii="Calibri" w:hAnsi="Calibri"/>
          <w:sz w:val="22"/>
        </w:rPr>
        <w:t>Model monitoring: Track prediction distribution drift, AUC decay, and calibration stability monthly</w:t>
      </w:r>
    </w:p>
    <w:p>
      <w:pPr>
        <w:pStyle w:val="ListBullet"/>
        <w:spacing w:before="0" w:after="160" w:lineRule="auto" w:line="280"/>
      </w:pPr>
      <w:r>
        <w:rPr>
          <w:rFonts w:ascii="Calibri" w:hAnsi="Calibri"/>
          <w:sz w:val="22"/>
        </w:rPr>
        <w:t>Champion/challenger: Maintain the current LightGBM as champion while testing challenger models</w:t>
      </w:r>
    </w:p>
    <w:p>
      <w:pPr>
        <w:pStyle w:val="ListBullet"/>
        <w:spacing w:before="0" w:after="160" w:lineRule="auto" w:line="280"/>
      </w:pPr>
      <w:r>
        <w:rPr>
          <w:rFonts w:ascii="Calibri" w:hAnsi="Calibri"/>
          <w:sz w:val="22"/>
        </w:rPr>
        <w:t>Adverse action notices: The model's SHAP-based explanations can support ECOA-compliant adverse action reasons</w:t>
      </w:r>
    </w:p>
    <w:p>
      <w:pPr>
        <w:pStyle w:val="ListBullet"/>
        <w:spacing w:before="0" w:after="160" w:lineRule="auto" w:line="280"/>
      </w:pPr>
      <w:r>
        <w:rPr>
          <w:rFonts w:ascii="Calibri" w:hAnsi="Calibri"/>
          <w:sz w:val="22"/>
        </w:rPr>
        <w:t>Retraining cadence: Quarterly retraining recommended, or when PSI (Population Stability Index) exceeds 0.10</w:t>
      </w:r>
    </w:p>
    <w:p>
      <w:r>
        <w:br w:type="page"/>
      </w:r>
    </w:p>
    <w:p>
      <w:pPr>
        <w:pStyle w:val="Heading1"/>
      </w:pPr>
      <w:r>
        <w:t>11. Conclusion</w:t>
      </w:r>
    </w:p>
    <w:p>
      <w:pPr>
        <w:spacing w:before="0" w:after="120" w:lineRule="auto" w:line="264"/>
        <w:jc w:val="left"/>
      </w:pPr>
      <w:r>
        <w:rPr>
          <w:rFonts w:ascii="Calibri" w:hAnsi="Calibri"/>
          <w:sz w:val="22"/>
        </w:rPr>
        <w:t>This project successfully developed an end-to-end credit risk analytics pipelineInc., transforming raw applicant data into a production-ready probability of default model with quantified business impact. The key achievements are:</w:t>
      </w:r>
    </w:p>
    <w:p>
      <w:pPr>
        <w:spacing w:before="0" w:after="120" w:lineRule="auto" w:line="264"/>
        <w:jc w:val="left"/>
      </w:pPr>
      <w:r>
        <w:rPr>
          <w:rFonts w:ascii="Calibri" w:hAnsi="Calibri"/>
          <w:b/>
          <w:sz w:val="22"/>
        </w:rPr>
        <w:t>Model Performance</w:t>
      </w:r>
    </w:p>
    <w:p>
      <w:pPr>
        <w:pStyle w:val="ListBullet"/>
        <w:spacing w:before="0" w:after="160" w:lineRule="auto" w:line="280"/>
      </w:pPr>
      <w:r>
        <w:rPr>
          <w:rFonts w:ascii="Calibri" w:hAnsi="Calibri"/>
          <w:sz w:val="22"/>
        </w:rPr>
        <w:t>LightGBM model with AUC 0.768 on holdout test data</w:t>
      </w:r>
    </w:p>
    <w:p>
      <w:pPr>
        <w:pStyle w:val="ListBullet"/>
        <w:spacing w:before="0" w:after="160" w:lineRule="auto" w:line="280"/>
      </w:pPr>
      <w:r>
        <w:rPr>
          <w:rFonts w:ascii="Calibri" w:hAnsi="Calibri"/>
          <w:sz w:val="22"/>
        </w:rPr>
        <w:t>Gini coefficient of 0.536 and recall of 69.7% at optimal threshold</w:t>
      </w:r>
    </w:p>
    <w:p>
      <w:pPr>
        <w:pStyle w:val="ListBullet"/>
        <w:spacing w:before="0" w:after="160" w:lineRule="auto" w:line="280"/>
      </w:pPr>
      <w:r>
        <w:rPr>
          <w:rFonts w:ascii="Calibri" w:hAnsi="Calibri"/>
          <w:sz w:val="22"/>
        </w:rPr>
        <w:t>Five-model comparison with rigorous evaluation methodology</w:t>
      </w:r>
    </w:p>
    <w:p>
      <w:pPr>
        <w:spacing w:before="0" w:after="120" w:lineRule="auto" w:line="264"/>
        <w:jc w:val="left"/>
      </w:pPr>
      <w:r>
        <w:rPr>
          <w:rFonts w:ascii="Calibri" w:hAnsi="Calibri"/>
          <w:b/>
          <w:sz w:val="22"/>
        </w:rPr>
        <w:t>Business Impact</w:t>
      </w:r>
    </w:p>
    <w:p>
      <w:pPr>
        <w:pStyle w:val="ListBullet"/>
        <w:spacing w:before="0" w:after="160" w:lineRule="auto" w:line="280"/>
      </w:pPr>
      <w:r>
        <w:rPr>
          <w:rFonts w:ascii="Calibri" w:hAnsi="Calibri"/>
          <w:sz w:val="22"/>
        </w:rPr>
        <w:t>AI model generates $112.6M profit vs. $8.1M from current rules — a $104.5M improvement</w:t>
      </w:r>
    </w:p>
    <w:p>
      <w:pPr>
        <w:pStyle w:val="ListBullet"/>
        <w:spacing w:before="0" w:after="160" w:lineRule="auto" w:line="280"/>
      </w:pPr>
      <w:r>
        <w:rPr>
          <w:rFonts w:ascii="Calibri" w:hAnsi="Calibri"/>
          <w:sz w:val="22"/>
        </w:rPr>
        <w:t>67% approval rate vs. 4.6% — dramatically expanding market reach</w:t>
      </w:r>
    </w:p>
    <w:p>
      <w:pPr>
        <w:pStyle w:val="ListBullet"/>
        <w:spacing w:before="0" w:after="160" w:lineRule="auto" w:line="280"/>
      </w:pPr>
      <w:r>
        <w:rPr>
          <w:rFonts w:ascii="Calibri" w:hAnsi="Calibri"/>
          <w:sz w:val="22"/>
        </w:rPr>
        <w:t>3.62% actual default rate — 2.2x lower than the portfolio average</w:t>
      </w:r>
    </w:p>
    <w:p>
      <w:pPr>
        <w:pStyle w:val="ListBullet"/>
        <w:spacing w:before="0" w:after="160" w:lineRule="auto" w:line="280"/>
      </w:pPr>
      <w:r>
        <w:rPr>
          <w:rFonts w:ascii="Calibri" w:hAnsi="Calibri"/>
          <w:sz w:val="22"/>
        </w:rPr>
        <w:t>Flexible threshold tuning across business cycles without retraining</w:t>
      </w:r>
    </w:p>
    <w:p>
      <w:pPr>
        <w:spacing w:before="0" w:after="120" w:lineRule="auto" w:line="264"/>
        <w:jc w:val="left"/>
      </w:pPr>
      <w:r>
        <w:rPr>
          <w:rFonts w:ascii="Calibri" w:hAnsi="Calibri"/>
          <w:b/>
          <w:sz w:val="22"/>
        </w:rPr>
        <w:t>Explainability</w:t>
      </w:r>
    </w:p>
    <w:p>
      <w:pPr>
        <w:pStyle w:val="ListBullet"/>
        <w:spacing w:before="0" w:after="160" w:lineRule="auto" w:line="280"/>
      </w:pPr>
      <w:r>
        <w:rPr>
          <w:rFonts w:ascii="Calibri" w:hAnsi="Calibri"/>
          <w:sz w:val="22"/>
        </w:rPr>
        <w:t>Identified external credit scores (EXT_MEAN) as the dominant risk driver at 0.47 SHAP importance</w:t>
      </w:r>
    </w:p>
    <w:p>
      <w:pPr>
        <w:pStyle w:val="ListBullet"/>
        <w:spacing w:before="0" w:after="160" w:lineRule="auto" w:line="280"/>
      </w:pPr>
      <w:r>
        <w:rPr>
          <w:rFonts w:ascii="Calibri" w:hAnsi="Calibri"/>
          <w:sz w:val="22"/>
        </w:rPr>
        <w:t>Validated feature rankings through permutation importance and partial dependence analysis</w:t>
      </w:r>
    </w:p>
    <w:p>
      <w:pPr>
        <w:pStyle w:val="ListBullet"/>
        <w:spacing w:before="0" w:after="160" w:lineRule="auto" w:line="280"/>
      </w:pPr>
      <w:r>
        <w:rPr>
          <w:rFonts w:ascii="Calibri" w:hAnsi="Calibri"/>
          <w:sz w:val="22"/>
        </w:rPr>
        <w:t>Documented case-level explanations for regulatory compliance</w:t>
      </w:r>
    </w:p>
    <w:p>
      <w:pPr>
        <w:spacing w:before="0" w:after="120" w:lineRule="auto" w:line="264"/>
        <w:jc w:val="left"/>
      </w:pPr>
      <w:r>
        <w:rPr>
          <w:rFonts w:ascii="Calibri" w:hAnsi="Calibri"/>
          <w:b/>
          <w:sz w:val="22"/>
        </w:rPr>
        <w:t>Deliverables</w:t>
      </w:r>
    </w:p>
    <w:p>
      <w:pPr>
        <w:pStyle w:val="ListBullet"/>
        <w:spacing w:before="0" w:after="160" w:lineRule="auto" w:line="280"/>
      </w:pPr>
      <w:r>
        <w:rPr>
          <w:rFonts w:ascii="Calibri" w:hAnsi="Calibri"/>
          <w:sz w:val="22"/>
        </w:rPr>
        <w:t>Seven executed Jupyter notebooks with full pipeline documentation</w:t>
      </w:r>
    </w:p>
    <w:p>
      <w:pPr>
        <w:pStyle w:val="ListBullet"/>
        <w:spacing w:before="0" w:after="160" w:lineRule="auto" w:line="280"/>
      </w:pPr>
      <w:r>
        <w:rPr>
          <w:rFonts w:ascii="Calibri" w:hAnsi="Calibri"/>
          <w:sz w:val="22"/>
        </w:rPr>
        <w:t>Production-ready inference module (src/inference.py) with CLI and API interfaces</w:t>
      </w:r>
    </w:p>
    <w:p>
      <w:pPr>
        <w:pStyle w:val="ListBullet"/>
        <w:spacing w:before="0" w:after="160" w:lineRule="auto" w:line="280"/>
      </w:pPr>
      <w:r>
        <w:rPr>
          <w:rFonts w:ascii="Calibri" w:hAnsi="Calibri"/>
          <w:sz w:val="22"/>
        </w:rPr>
        <w:t>Comprehensive model card and simulation results reports</w:t>
      </w:r>
    </w:p>
    <w:p>
      <w:pPr>
        <w:pStyle w:val="ListBullet"/>
        <w:spacing w:before="0" w:after="160" w:lineRule="auto" w:line="280"/>
      </w:pPr>
      <w:r>
        <w:rPr>
          <w:rFonts w:ascii="Calibri" w:hAnsi="Calibri"/>
          <w:sz w:val="22"/>
        </w:rPr>
        <w:t>30+ publication-quality figures for stakeholder presentations</w:t>
      </w:r>
    </w:p>
    <w:p>
      <w:pPr>
        <w:pStyle w:val="ListBullet"/>
        <w:spacing w:before="0" w:after="160" w:lineRule="auto" w:line="280"/>
      </w:pPr>
      <w:r>
        <w:rPr>
          <w:rFonts w:ascii="Calibri" w:hAnsi="Calibri"/>
          <w:sz w:val="22"/>
        </w:rPr>
        <w:t>Power BI dashboard design specification with DAX measures</w:t>
      </w:r>
    </w:p>
    <w:p>
      <w:pPr>
        <w:spacing w:before="160" w:after="120" w:lineRule="auto" w:line="264"/>
        <w:jc w:val="left"/>
      </w:pPr>
      <w:r>
        <w:rPr>
          <w:rFonts w:ascii="Calibri" w:hAnsi="Calibri"/>
          <w:sz w:val="22"/>
        </w:rPr>
        <w:t>The model's value lies not just in its technical performance but in its direct translation to business outcomes. By replacing a rigid, single-variable rule-based underwriting system with a multi-dimensional machine learning approach, the platform can dramatically expand its addressable market while maintaining disciplined risk management. The $104.5 million profit uplift and the flexibility to adjust risk appetite through a single threshold parameter make this a high-impact deployment with immediate bottom-line results.</w:t>
      </w:r>
    </w:p>
    <w:p>
      <w:r>
        <w:br w:type="page"/>
      </w:r>
    </w:p>
    <w:p>
      <w:pPr>
        <w:pStyle w:val="Heading1"/>
      </w:pPr>
      <w:r>
        <w:t>Appendix A: Feature Glossary</w:t>
      </w:r>
    </w:p>
    <w:p>
      <w:pPr>
        <w:spacing w:before="0" w:after="120" w:lineRule="auto" w:line="264"/>
        <w:jc w:val="left"/>
      </w:pPr>
      <w:r>
        <w:rPr>
          <w:rFonts w:ascii="Calibri" w:hAnsi="Calibri"/>
          <w:sz w:val="22"/>
        </w:rPr>
        <w:t>The feature matrix contains 182 columns. Below is the complete list of features with descriptions, organized by source and type.</w:t>
      </w:r>
    </w:p>
    <w:p>
      <w:pPr>
        <w:spacing w:before="80" w:after="80" w:lineRule="auto" w:line="264"/>
        <w:jc w:val="left"/>
      </w:pPr>
      <w:r>
        <w:rPr>
          <w:rFonts w:ascii="Calibri" w:hAnsi="Calibri"/>
          <w:i/>
          <w:color w:val="555555"/>
          <w:sz w:val="18"/>
        </w:rPr>
        <w:t>Table 16: Feature glossary — selected entries (complete list: 182 features)</w:t>
      </w:r>
    </w:p>
    <w:tbl>
      <w:tblPr>
        <w:tblW w:type="dxa" w:w="8160"/>
        <w:jc w:val="left"/>
        <w:tblLayout w:type="fixed"/>
        <w:tblLook w:firstColumn="1" w:firstRow="1" w:lastColumn="0" w:lastRow="0" w:noHBand="0" w:noVBand="1" w:val="04A0"/>
        <w:tblInd w:type="dxa" w:w="120"/>
      </w:tblPr>
      <w:tblGrid>
        <w:gridCol w:w="2600"/>
        <w:gridCol w:w="800"/>
        <w:gridCol w:w="3200"/>
        <w:gridCol w:w="1560"/>
      </w:tblGrid>
      <w:tr>
        <w:trPr/>
        <w:tc>
          <w:tcPr>
            <w:tcW w:type="dxa" w:w="2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Feature</w:t>
            </w:r>
          </w:p>
        </w:tc>
        <w:tc>
          <w:tcPr>
            <w:tcW w:type="dxa" w:w="8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Type</w:t>
            </w:r>
          </w:p>
        </w:tc>
        <w:tc>
          <w:tcPr>
            <w:tcW w:type="dxa" w:w="32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Description</w:t>
            </w:r>
          </w:p>
        </w:tc>
        <w:tc>
          <w:tcPr>
            <w:tcW w:type="dxa" w:w="15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Source</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SK_ID_CURR</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int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Applicant ID</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FLAG_OWN_CAR</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str</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Owns a car (Y/N)</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FLAG_OWN_REALTY</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str</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Owns real estate (Y/N)</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CNT_CHILDREN</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Number of children</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AMT_INCOME_TOTAL</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Annual income</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AMT_CREDIT</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Loan credit amount</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AMT_ANNUITY</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Monthly annuity payment</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AMT_GOODS_PRICE</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Goods price for the loan</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REGION_POPULATION_RELATIVE</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Region population rank</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DAYS_BIRTH</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Age in days (neg.)</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DAYS_EMPLOYED</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Days employed (neg.)</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Raw</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EXT_MEAN</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Mean of EXT_SOURCE 1-3</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Aggregated</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EXT_MIN</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Min of EXT_SOURCE 1-3</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Aggregated</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EXT_STD</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Std of EXT_SOURCE 1-3</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Aggregated</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ANNUITY_RATE</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AMT_ANNUITY / AMT_CREDIT</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DTI</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AMT_ANNUITY / AMT_INCOME_TOTAL</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LTI</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AMT_CREDIT / AMT_INCOME_TOTAL</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INCOME_PER_CAPITA</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AMT_INCOME / CNT_FAM_MEMBERS</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IS_UNEMPLOYED</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int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DAYS_EMPLOYED artifact flag</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AGE_YEARS</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DAYS_BIRTH in years</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EMP_LENGTH_YEARS</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Employment duration in years</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CAR_AGE</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Own car age in years</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Domain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EDU_ORDINAL</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int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Education level (1-5)</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Encoded</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FAMILY_ORDINAL</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int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Family status (1-5)</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Encoded</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ORGANIZATION_TYPE_FREQ</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Org type frequency</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Encoded</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OCCUPATION_TYPE_FREQ</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Occupation type frequency</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Encoded</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EXT_2x3</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EXT_SOURCE_2 x EXT_SOURCE_3</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Interaction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DTI_x_EXT2</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DTI x EXT_SOURCE_2</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Interaction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AGE_INCOME</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AGE_YEARS x AMT_INCOME_TOTAL</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Interaction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LTI_x_EXT2</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LTI x EXT_SOURCE_2</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Interaction</w:t>
            </w:r>
          </w:p>
        </w:tc>
      </w:tr>
      <w:tr>
        <w:trPr/>
        <w:tc>
          <w:tcPr>
            <w:tcW w:type="dxa" w:w="2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CAREER_INDEX</w:t>
            </w:r>
          </w:p>
        </w:tc>
        <w:tc>
          <w:tcPr>
            <w:tcW w:type="dxa" w:w="8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float</w:t>
            </w:r>
          </w:p>
        </w:tc>
        <w:tc>
          <w:tcPr>
            <w:tcW w:type="dxa" w:w="32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AGE_YEARS x EMP_LENGTH_YEARS</w:t>
            </w:r>
          </w:p>
        </w:tc>
        <w:tc>
          <w:tcPr>
            <w:tcW w:type="dxa" w:w="15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Interaction</w:t>
            </w:r>
          </w:p>
        </w:tc>
      </w:tr>
      <w:tr>
        <w:trPr/>
        <w:tc>
          <w:tcPr>
            <w:tcW w:type="dxa" w:w="2600"/>
            <w:vAlign w:val="center"/>
            <w:tcMar>
              <w:top w:w="80" w:type="dxa"/>
              <w:bottom w:w="80" w:type="dxa"/>
              <w:start w:w="120" w:type="dxa"/>
              <w:end w:w="120" w:type="dxa"/>
            </w:tcMar>
          </w:tcPr>
          <w:p>
            <w:pPr>
              <w:spacing w:before="40" w:after="40" w:lineRule="auto" w:line="240"/>
              <w:jc w:val="center"/>
            </w:pPr>
            <w:r/>
            <w:r>
              <w:rPr>
                <w:rFonts w:ascii="Calibri" w:hAnsi="Calibri"/>
                <w:sz w:val="19"/>
              </w:rPr>
              <w:t>(62 missing flags)</w:t>
            </w:r>
          </w:p>
        </w:tc>
        <w:tc>
          <w:tcPr>
            <w:tcW w:type="dxa" w:w="800"/>
            <w:vAlign w:val="center"/>
            <w:tcMar>
              <w:top w:w="80" w:type="dxa"/>
              <w:bottom w:w="80" w:type="dxa"/>
              <w:start w:w="120" w:type="dxa"/>
              <w:end w:w="120" w:type="dxa"/>
            </w:tcMar>
          </w:tcPr>
          <w:p>
            <w:pPr>
              <w:spacing w:before="40" w:after="40" w:lineRule="auto" w:line="240"/>
              <w:jc w:val="left"/>
            </w:pPr>
            <w:r/>
            <w:r>
              <w:rPr>
                <w:rFonts w:ascii="Calibri" w:hAnsi="Calibri"/>
                <w:sz w:val="19"/>
              </w:rPr>
              <w:t>int</w:t>
            </w:r>
          </w:p>
        </w:tc>
        <w:tc>
          <w:tcPr>
            <w:tcW w:type="dxa" w:w="3200"/>
            <w:vAlign w:val="center"/>
            <w:tcMar>
              <w:top w:w="80" w:type="dxa"/>
              <w:bottom w:w="80" w:type="dxa"/>
              <w:start w:w="120" w:type="dxa"/>
              <w:end w:w="120" w:type="dxa"/>
            </w:tcMar>
          </w:tcPr>
          <w:p>
            <w:pPr>
              <w:spacing w:before="40" w:after="40" w:lineRule="auto" w:line="240"/>
              <w:jc w:val="center"/>
            </w:pPr>
            <w:r/>
            <w:r>
              <w:rPr>
                <w:rFonts w:ascii="Calibri" w:hAnsi="Calibri"/>
                <w:sz w:val="19"/>
              </w:rPr>
              <w:t>One flag per high-missingness feature</w:t>
            </w:r>
          </w:p>
        </w:tc>
        <w:tc>
          <w:tcPr>
            <w:tcW w:type="dxa" w:w="1560"/>
            <w:vAlign w:val="center"/>
            <w:tcMar>
              <w:top w:w="80" w:type="dxa"/>
              <w:bottom w:w="80" w:type="dxa"/>
              <w:start w:w="120" w:type="dxa"/>
              <w:end w:w="120" w:type="dxa"/>
            </w:tcMar>
          </w:tcPr>
          <w:p>
            <w:pPr>
              <w:spacing w:before="40" w:after="40" w:lineRule="auto" w:line="240"/>
              <w:jc w:val="center"/>
            </w:pPr>
            <w:r/>
            <w:r>
              <w:rPr>
                <w:rFonts w:ascii="Calibri" w:hAnsi="Calibri"/>
                <w:sz w:val="19"/>
              </w:rPr>
              <w:t>Indicator</w:t>
            </w:r>
          </w:p>
        </w:tc>
      </w:tr>
    </w:tbl>
    <w:p>
      <w:r>
        <w:br w:type="page"/>
      </w:r>
    </w:p>
    <w:p>
      <w:pPr>
        <w:pStyle w:val="Heading1"/>
      </w:pPr>
      <w:r>
        <w:t>Appendix B: Full Model Leaderboard</w:t>
      </w:r>
    </w:p>
    <w:p>
      <w:pPr>
        <w:spacing w:before="0" w:after="120" w:lineRule="auto" w:line="264"/>
        <w:jc w:val="left"/>
      </w:pPr>
      <w:r>
        <w:rPr>
          <w:rFonts w:ascii="Calibri" w:hAnsi="Calibri"/>
          <w:sz w:val="22"/>
        </w:rPr>
        <w:t>Complete test set performance comparison across all five candidate models. Metrics are computed on the held-out test set of 61,503 applicants.</w:t>
      </w:r>
    </w:p>
    <w:tbl>
      <w:tblPr>
        <w:tblW w:type="dxa" w:w="9300"/>
        <w:jc w:val="left"/>
        <w:tblLayout w:type="fixed"/>
        <w:tblLook w:firstColumn="1" w:firstRow="1" w:lastColumn="0" w:lastRow="0" w:noHBand="0" w:noVBand="1" w:val="04A0"/>
        <w:tblInd w:type="dxa" w:w="120"/>
      </w:tblPr>
      <w:tblGrid>
        <w:gridCol w:w="1600"/>
        <w:gridCol w:w="900"/>
        <w:gridCol w:w="900"/>
        <w:gridCol w:w="900"/>
        <w:gridCol w:w="800"/>
        <w:gridCol w:w="700"/>
        <w:gridCol w:w="900"/>
        <w:gridCol w:w="900"/>
        <w:gridCol w:w="800"/>
        <w:gridCol w:w="900"/>
      </w:tblGrid>
      <w:tr>
        <w:trPr/>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Model</w:t>
            </w:r>
          </w:p>
        </w:tc>
        <w:tc>
          <w:tcPr>
            <w:tcW w:type="dxa" w:w="9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AUC</w:t>
            </w:r>
          </w:p>
        </w:tc>
        <w:tc>
          <w:tcPr>
            <w:tcW w:type="dxa" w:w="9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AP</w:t>
            </w:r>
          </w:p>
        </w:tc>
        <w:tc>
          <w:tcPr>
            <w:tcW w:type="dxa" w:w="9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Prec</w:t>
            </w:r>
          </w:p>
        </w:tc>
        <w:tc>
          <w:tcPr>
            <w:tcW w:type="dxa" w:w="8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Rec</w:t>
            </w:r>
          </w:p>
        </w:tc>
        <w:tc>
          <w:tcPr>
            <w:tcW w:type="dxa" w:w="7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F1</w:t>
            </w:r>
          </w:p>
        </w:tc>
        <w:tc>
          <w:tcPr>
            <w:tcW w:type="dxa" w:w="9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TP</w:t>
            </w:r>
          </w:p>
        </w:tc>
        <w:tc>
          <w:tcPr>
            <w:tcW w:type="dxa" w:w="9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FP</w:t>
            </w:r>
          </w:p>
        </w:tc>
        <w:tc>
          <w:tcPr>
            <w:tcW w:type="dxa" w:w="8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FN</w:t>
            </w:r>
          </w:p>
        </w:tc>
        <w:tc>
          <w:tcPr>
            <w:tcW w:type="dxa" w:w="9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TN</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LightGBM</w:t>
            </w:r>
          </w:p>
        </w:tc>
        <w:tc>
          <w:tcPr>
            <w:tcW w:type="dxa" w:w="900"/>
            <w:vAlign w:val="center"/>
            <w:tcMar>
              <w:top w:w="80" w:type="dxa"/>
              <w:bottom w:w="80" w:type="dxa"/>
              <w:start w:w="120" w:type="dxa"/>
              <w:end w:w="120" w:type="dxa"/>
            </w:tcMar>
          </w:tcPr>
          <w:p>
            <w:pPr>
              <w:spacing w:before="40" w:after="40" w:lineRule="auto" w:line="240"/>
              <w:jc w:val="left"/>
            </w:pPr>
            <w:r/>
            <w:r>
              <w:rPr>
                <w:rFonts w:ascii="Calibri" w:hAnsi="Calibri"/>
                <w:sz w:val="19"/>
              </w:rPr>
              <w:t>0.7680</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0.2580</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0.1758</w:t>
            </w:r>
          </w:p>
        </w:tc>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0.6761</w:t>
            </w:r>
          </w:p>
        </w:tc>
        <w:tc>
          <w:tcPr>
            <w:tcW w:type="dxa" w:w="700"/>
            <w:vAlign w:val="center"/>
            <w:tcMar>
              <w:top w:w="80" w:type="dxa"/>
              <w:bottom w:w="80" w:type="dxa"/>
              <w:start w:w="120" w:type="dxa"/>
              <w:end w:w="120" w:type="dxa"/>
            </w:tcMar>
          </w:tcPr>
          <w:p>
            <w:pPr>
              <w:spacing w:before="40" w:after="40" w:lineRule="auto" w:line="240"/>
              <w:jc w:val="center"/>
            </w:pPr>
            <w:r/>
            <w:r>
              <w:rPr>
                <w:rFonts w:ascii="Calibri" w:hAnsi="Calibri"/>
                <w:sz w:val="19"/>
              </w:rPr>
              <w:t>0.2790</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3,357</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15,740</w:t>
            </w:r>
          </w:p>
        </w:tc>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1,608</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40,798</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XGBoost</w:t>
            </w:r>
          </w:p>
        </w:tc>
        <w:tc>
          <w:tcPr>
            <w:tcW w:type="dxa" w:w="9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0.7668</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0.2558</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0.1811</w:t>
            </w:r>
          </w:p>
        </w:tc>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0.6508</w:t>
            </w:r>
          </w:p>
        </w:tc>
        <w:tc>
          <w:tcPr>
            <w:tcW w:type="dxa" w:w="7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0.2833</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3,231</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14,611</w:t>
            </w:r>
          </w:p>
        </w:tc>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1,734</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41,927</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Logistic Regression</w:t>
            </w:r>
          </w:p>
        </w:tc>
        <w:tc>
          <w:tcPr>
            <w:tcW w:type="dxa" w:w="900"/>
            <w:vAlign w:val="center"/>
            <w:tcMar>
              <w:top w:w="80" w:type="dxa"/>
              <w:bottom w:w="80" w:type="dxa"/>
              <w:start w:w="120" w:type="dxa"/>
              <w:end w:w="120" w:type="dxa"/>
            </w:tcMar>
          </w:tcPr>
          <w:p>
            <w:pPr>
              <w:spacing w:before="40" w:after="40" w:lineRule="auto" w:line="240"/>
              <w:jc w:val="left"/>
            </w:pPr>
            <w:r/>
            <w:r>
              <w:rPr>
                <w:rFonts w:ascii="Calibri" w:hAnsi="Calibri"/>
                <w:sz w:val="19"/>
              </w:rPr>
              <w:t>0.7483</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0.2358</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0.1593</w:t>
            </w:r>
          </w:p>
        </w:tc>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0.6767</w:t>
            </w:r>
          </w:p>
        </w:tc>
        <w:tc>
          <w:tcPr>
            <w:tcW w:type="dxa" w:w="700"/>
            <w:vAlign w:val="center"/>
            <w:tcMar>
              <w:top w:w="80" w:type="dxa"/>
              <w:bottom w:w="80" w:type="dxa"/>
              <w:start w:w="120" w:type="dxa"/>
              <w:end w:w="120" w:type="dxa"/>
            </w:tcMar>
          </w:tcPr>
          <w:p>
            <w:pPr>
              <w:spacing w:before="40" w:after="40" w:lineRule="auto" w:line="240"/>
              <w:jc w:val="center"/>
            </w:pPr>
            <w:r/>
            <w:r>
              <w:rPr>
                <w:rFonts w:ascii="Calibri" w:hAnsi="Calibri"/>
                <w:sz w:val="19"/>
              </w:rPr>
              <w:t>0.2579</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3,360</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17,735</w:t>
            </w:r>
          </w:p>
        </w:tc>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1,605</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38,803</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Random Forest</w:t>
            </w:r>
          </w:p>
        </w:tc>
        <w:tc>
          <w:tcPr>
            <w:tcW w:type="dxa" w:w="9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0.7464</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0.2273</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0.1829</w:t>
            </w:r>
          </w:p>
        </w:tc>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0.5899</w:t>
            </w:r>
          </w:p>
        </w:tc>
        <w:tc>
          <w:tcPr>
            <w:tcW w:type="dxa" w:w="7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0.2793</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2,929</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13,082</w:t>
            </w:r>
          </w:p>
        </w:tc>
        <w:tc>
          <w:tcPr>
            <w:tcW w:type="dxa" w:w="8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2,036</w:t>
            </w:r>
          </w:p>
        </w:tc>
        <w:tc>
          <w:tcPr>
            <w:tcW w:type="dxa" w:w="9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43,456</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Decision Tree</w:t>
            </w:r>
          </w:p>
        </w:tc>
        <w:tc>
          <w:tcPr>
            <w:tcW w:type="dxa" w:w="900"/>
            <w:vAlign w:val="center"/>
            <w:tcMar>
              <w:top w:w="80" w:type="dxa"/>
              <w:bottom w:w="80" w:type="dxa"/>
              <w:start w:w="120" w:type="dxa"/>
              <w:end w:w="120" w:type="dxa"/>
            </w:tcMar>
          </w:tcPr>
          <w:p>
            <w:pPr>
              <w:spacing w:before="40" w:after="40" w:lineRule="auto" w:line="240"/>
              <w:jc w:val="left"/>
            </w:pPr>
            <w:r/>
            <w:r>
              <w:rPr>
                <w:rFonts w:ascii="Calibri" w:hAnsi="Calibri"/>
                <w:sz w:val="19"/>
              </w:rPr>
              <w:t>0.7231</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0.2017</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0.1452</w:t>
            </w:r>
          </w:p>
        </w:tc>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0.6783</w:t>
            </w:r>
          </w:p>
        </w:tc>
        <w:tc>
          <w:tcPr>
            <w:tcW w:type="dxa" w:w="700"/>
            <w:vAlign w:val="center"/>
            <w:tcMar>
              <w:top w:w="80" w:type="dxa"/>
              <w:bottom w:w="80" w:type="dxa"/>
              <w:start w:w="120" w:type="dxa"/>
              <w:end w:w="120" w:type="dxa"/>
            </w:tcMar>
          </w:tcPr>
          <w:p>
            <w:pPr>
              <w:spacing w:before="40" w:after="40" w:lineRule="auto" w:line="240"/>
              <w:jc w:val="center"/>
            </w:pPr>
            <w:r/>
            <w:r>
              <w:rPr>
                <w:rFonts w:ascii="Calibri" w:hAnsi="Calibri"/>
                <w:sz w:val="19"/>
              </w:rPr>
              <w:t>0.2392</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3,368</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19,831</w:t>
            </w:r>
          </w:p>
        </w:tc>
        <w:tc>
          <w:tcPr>
            <w:tcW w:type="dxa" w:w="800"/>
            <w:vAlign w:val="center"/>
            <w:tcMar>
              <w:top w:w="80" w:type="dxa"/>
              <w:bottom w:w="80" w:type="dxa"/>
              <w:start w:w="120" w:type="dxa"/>
              <w:end w:w="120" w:type="dxa"/>
            </w:tcMar>
          </w:tcPr>
          <w:p>
            <w:pPr>
              <w:spacing w:before="40" w:after="40" w:lineRule="auto" w:line="240"/>
              <w:jc w:val="center"/>
            </w:pPr>
            <w:r/>
            <w:r>
              <w:rPr>
                <w:rFonts w:ascii="Calibri" w:hAnsi="Calibri"/>
                <w:sz w:val="19"/>
              </w:rPr>
              <w:t>1,597</w:t>
            </w:r>
          </w:p>
        </w:tc>
        <w:tc>
          <w:tcPr>
            <w:tcW w:type="dxa" w:w="900"/>
            <w:vAlign w:val="center"/>
            <w:tcMar>
              <w:top w:w="80" w:type="dxa"/>
              <w:bottom w:w="80" w:type="dxa"/>
              <w:start w:w="120" w:type="dxa"/>
              <w:end w:w="120" w:type="dxa"/>
            </w:tcMar>
          </w:tcPr>
          <w:p>
            <w:pPr>
              <w:spacing w:before="40" w:after="40" w:lineRule="auto" w:line="240"/>
              <w:jc w:val="center"/>
            </w:pPr>
            <w:r/>
            <w:r>
              <w:rPr>
                <w:rFonts w:ascii="Calibri" w:hAnsi="Calibri"/>
                <w:sz w:val="19"/>
              </w:rPr>
              <w:t>36,707</w:t>
            </w:r>
          </w:p>
        </w:tc>
      </w:tr>
    </w:tbl>
    <w:p>
      <w:pPr>
        <w:spacing w:before="80" w:after="80" w:lineRule="auto" w:line="264"/>
        <w:jc w:val="left"/>
      </w:pPr>
      <w:r>
        <w:rPr>
          <w:rFonts w:ascii="Calibri" w:hAnsi="Calibri"/>
          <w:i/>
          <w:color w:val="555555"/>
          <w:sz w:val="18"/>
        </w:rPr>
        <w:t>Table 17: Complete model leaderboard — all metrics on test set</w:t>
      </w:r>
    </w:p>
    <w:p>
      <w:pPr>
        <w:spacing w:before="0" w:after="120" w:lineRule="auto" w:line="264"/>
        <w:jc w:val="left"/>
      </w:pPr>
      <w:r>
        <w:rPr>
          <w:rFonts w:ascii="Calibri" w:hAnsi="Calibri"/>
          <w:sz w:val="22"/>
        </w:rPr>
        <w:t>LightGBM was selected for its highest AUC (0.7680) and average precision (0.258). The optimal threshold was selected using the F2 score, and all confusion matrix values in the leaderboard are computed at this threshold (0.485). Note that individual model thresholds may differ for optimal F1 or other metrics.</w:t>
      </w:r>
    </w:p>
    <w:p>
      <w:pPr>
        <w:spacing w:before="120" w:after="120" w:lineRule="auto" w:line="264"/>
        <w:jc w:val="left"/>
      </w:pPr>
      <w:r>
        <w:rPr>
          <w:rFonts w:ascii="Calibri" w:hAnsi="Calibri"/>
          <w:sz w:val="22"/>
        </w:rPr>
        <w:t>LightGBM's key advantages include native handling of missing values, efficient leaf-wise tree growth, and built-in early stopping to prevent overfitting. With 326 boosting rounds determined by early stopping, the model balances depth and generalization well.</w:t>
      </w:r>
    </w:p>
    <w:p>
      <w:r>
        <w:br w:type="page"/>
      </w:r>
    </w:p>
    <w:p>
      <w:pPr>
        <w:pStyle w:val="Heading1"/>
      </w:pPr>
      <w:r>
        <w:t>Appendix C: Technical Stack &amp; Dependencies</w:t>
      </w:r>
    </w:p>
    <w:p>
      <w:pPr>
        <w:spacing w:before="0" w:after="120" w:lineRule="auto" w:line="264"/>
        <w:jc w:val="left"/>
      </w:pPr>
      <w:r>
        <w:rPr>
          <w:rFonts w:ascii="Calibri" w:hAnsi="Calibri"/>
          <w:b/>
          <w:sz w:val="22"/>
        </w:rPr>
        <w:t>Core Environment</w:t>
      </w:r>
    </w:p>
    <w:p>
      <w:pPr>
        <w:pStyle w:val="ListBullet"/>
        <w:spacing w:before="0" w:after="160" w:lineRule="auto" w:line="280"/>
      </w:pPr>
      <w:r>
        <w:rPr>
          <w:rFonts w:ascii="Calibri" w:hAnsi="Calibri"/>
          <w:sz w:val="22"/>
        </w:rPr>
        <w:t>Python 3.10+</w:t>
      </w:r>
    </w:p>
    <w:p>
      <w:pPr>
        <w:pStyle w:val="ListBullet"/>
        <w:spacing w:before="0" w:after="160" w:lineRule="auto" w:line="280"/>
      </w:pPr>
      <w:r>
        <w:rPr>
          <w:rFonts w:ascii="Calibri" w:hAnsi="Calibri"/>
          <w:sz w:val="22"/>
        </w:rPr>
        <w:t>Jupyter Notebooks (nbformat 5.x)</w:t>
      </w:r>
    </w:p>
    <w:p>
      <w:pPr>
        <w:pStyle w:val="ListBullet"/>
        <w:spacing w:before="0" w:after="160" w:lineRule="auto" w:line="280"/>
      </w:pPr>
      <w:r>
        <w:rPr>
          <w:rFonts w:ascii="Calibri" w:hAnsi="Calibri"/>
          <w:sz w:val="22"/>
        </w:rPr>
        <w:t>Git version control</w:t>
      </w:r>
    </w:p>
    <w:p>
      <w:pPr>
        <w:spacing w:before="0" w:after="120" w:lineRule="auto" w:line="264"/>
        <w:jc w:val="left"/>
      </w:pPr>
      <w:r>
        <w:rPr>
          <w:rFonts w:ascii="Calibri" w:hAnsi="Calibri"/>
          <w:b/>
          <w:sz w:val="22"/>
        </w:rPr>
        <w:t>Data Processing</w:t>
      </w:r>
    </w:p>
    <w:p>
      <w:pPr>
        <w:pStyle w:val="ListBullet"/>
        <w:spacing w:before="0" w:after="160" w:lineRule="auto" w:line="280"/>
      </w:pPr>
      <w:r>
        <w:rPr>
          <w:rFonts w:ascii="Calibri" w:hAnsi="Calibri"/>
          <w:sz w:val="22"/>
        </w:rPr>
        <w:t>pandas 2.0+ — DataFrame operations and aggregation</w:t>
      </w:r>
    </w:p>
    <w:p>
      <w:pPr>
        <w:pStyle w:val="ListBullet"/>
        <w:spacing w:before="0" w:after="160" w:lineRule="auto" w:line="280"/>
      </w:pPr>
      <w:r>
        <w:rPr>
          <w:rFonts w:ascii="Calibri" w:hAnsi="Calibri"/>
          <w:sz w:val="22"/>
        </w:rPr>
        <w:t>numpy 1.24+ — numerical computations</w:t>
      </w:r>
    </w:p>
    <w:p>
      <w:pPr>
        <w:pStyle w:val="ListBullet"/>
        <w:spacing w:before="0" w:after="160" w:lineRule="auto" w:line="280"/>
      </w:pPr>
      <w:r>
        <w:rPr>
          <w:rFonts w:ascii="Calibri" w:hAnsi="Calibri"/>
          <w:sz w:val="22"/>
        </w:rPr>
        <w:t>pyarrow 12.0+ — Parquet I/O</w:t>
      </w:r>
    </w:p>
    <w:p>
      <w:pPr>
        <w:pStyle w:val="ListBullet"/>
        <w:spacing w:before="0" w:after="160" w:lineRule="auto" w:line="280"/>
      </w:pPr>
      <w:r>
        <w:rPr>
          <w:rFonts w:ascii="Calibri" w:hAnsi="Calibri"/>
          <w:sz w:val="22"/>
        </w:rPr>
        <w:t>category-encoders 2.6+ — frequency and target encoding</w:t>
      </w:r>
    </w:p>
    <w:p>
      <w:pPr>
        <w:spacing w:before="0" w:after="120" w:lineRule="auto" w:line="264"/>
        <w:jc w:val="left"/>
      </w:pPr>
      <w:r>
        <w:rPr>
          <w:rFonts w:ascii="Calibri" w:hAnsi="Calibri"/>
          <w:b/>
          <w:sz w:val="22"/>
        </w:rPr>
        <w:t>Machine Learning</w:t>
      </w:r>
    </w:p>
    <w:p>
      <w:pPr>
        <w:pStyle w:val="ListBullet"/>
        <w:spacing w:before="0" w:after="160" w:lineRule="auto" w:line="280"/>
      </w:pPr>
      <w:r>
        <w:rPr>
          <w:rFonts w:ascii="Calibri" w:hAnsi="Calibri"/>
          <w:sz w:val="22"/>
        </w:rPr>
        <w:t>scikit-learn 1.3+ — train/test split, metrics, scaling</w:t>
      </w:r>
    </w:p>
    <w:p>
      <w:pPr>
        <w:pStyle w:val="ListBullet"/>
        <w:spacing w:before="0" w:after="160" w:lineRule="auto" w:line="280"/>
      </w:pPr>
      <w:r>
        <w:rPr>
          <w:rFonts w:ascii="Calibri" w:hAnsi="Calibri"/>
          <w:sz w:val="22"/>
        </w:rPr>
        <w:t>LightGBM 4.0+ — selected model (LGBMClassifier)</w:t>
      </w:r>
    </w:p>
    <w:p>
      <w:pPr>
        <w:pStyle w:val="ListBullet"/>
        <w:spacing w:before="0" w:after="160" w:lineRule="auto" w:line="280"/>
      </w:pPr>
      <w:r>
        <w:rPr>
          <w:rFonts w:ascii="Calibri" w:hAnsi="Calibri"/>
          <w:sz w:val="22"/>
        </w:rPr>
        <w:t>XGBoost 2.0+ — comparison candidate</w:t>
      </w:r>
    </w:p>
    <w:p>
      <w:pPr>
        <w:pStyle w:val="ListBullet"/>
        <w:spacing w:before="0" w:after="160" w:lineRule="auto" w:line="280"/>
      </w:pPr>
      <w:r>
        <w:rPr>
          <w:rFonts w:ascii="Calibri" w:hAnsi="Calibri"/>
          <w:sz w:val="22"/>
        </w:rPr>
        <w:t>Optuna 3.3+ — hyperparameter optimization (configured)</w:t>
      </w:r>
    </w:p>
    <w:p>
      <w:pPr>
        <w:spacing w:before="0" w:after="120" w:lineRule="auto" w:line="264"/>
        <w:jc w:val="left"/>
      </w:pPr>
      <w:r>
        <w:rPr>
          <w:rFonts w:ascii="Calibri" w:hAnsi="Calibri"/>
          <w:b/>
          <w:sz w:val="22"/>
        </w:rPr>
        <w:t>Explainability</w:t>
      </w:r>
    </w:p>
    <w:p>
      <w:pPr>
        <w:pStyle w:val="ListBullet"/>
        <w:spacing w:before="0" w:after="160" w:lineRule="auto" w:line="280"/>
      </w:pPr>
      <w:r>
        <w:rPr>
          <w:rFonts w:ascii="Calibri" w:hAnsi="Calibri"/>
          <w:sz w:val="22"/>
        </w:rPr>
        <w:t>SHAP 0.42+ — SHAP values, beeswarm, waterfall, force plots</w:t>
      </w:r>
    </w:p>
    <w:p>
      <w:pPr>
        <w:spacing w:before="0" w:after="120" w:lineRule="auto" w:line="264"/>
        <w:jc w:val="left"/>
      </w:pPr>
      <w:r>
        <w:rPr>
          <w:rFonts w:ascii="Calibri" w:hAnsi="Calibri"/>
          <w:b/>
          <w:sz w:val="22"/>
        </w:rPr>
        <w:t>Visualization</w:t>
      </w:r>
    </w:p>
    <w:p>
      <w:pPr>
        <w:pStyle w:val="ListBullet"/>
        <w:spacing w:before="0" w:after="160" w:lineRule="auto" w:line="280"/>
      </w:pPr>
      <w:r>
        <w:rPr>
          <w:rFonts w:ascii="Calibri" w:hAnsi="Calibri"/>
          <w:sz w:val="22"/>
        </w:rPr>
        <w:t>matplotlib 3.7+ — all static plots</w:t>
      </w:r>
    </w:p>
    <w:p>
      <w:pPr>
        <w:pStyle w:val="ListBullet"/>
        <w:spacing w:before="0" w:after="160" w:lineRule="auto" w:line="280"/>
      </w:pPr>
      <w:r>
        <w:rPr>
          <w:rFonts w:ascii="Calibri" w:hAnsi="Calibri"/>
          <w:sz w:val="22"/>
        </w:rPr>
        <w:t>seaborn 0.12+ — statistical visualizations</w:t>
      </w:r>
    </w:p>
    <w:p>
      <w:pPr>
        <w:spacing w:before="0" w:after="120" w:lineRule="auto" w:line="264"/>
        <w:jc w:val="left"/>
      </w:pPr>
      <w:r>
        <w:rPr>
          <w:rFonts w:ascii="Calibri" w:hAnsi="Calibri"/>
          <w:b/>
          <w:sz w:val="22"/>
        </w:rPr>
        <w:t>Dashboard &amp; Reporting</w:t>
      </w:r>
    </w:p>
    <w:p>
      <w:pPr>
        <w:pStyle w:val="ListBullet"/>
        <w:spacing w:before="0" w:after="160" w:lineRule="auto" w:line="280"/>
      </w:pPr>
      <w:r>
        <w:rPr>
          <w:rFonts w:ascii="Calibri" w:hAnsi="Calibri"/>
          <w:sz w:val="22"/>
        </w:rPr>
        <w:t>Power BI — dashboard design specification</w:t>
      </w:r>
    </w:p>
    <w:p>
      <w:pPr>
        <w:pStyle w:val="ListBullet"/>
        <w:spacing w:before="0" w:after="160" w:lineRule="auto" w:line="280"/>
      </w:pPr>
      <w:r>
        <w:rPr>
          <w:rFonts w:ascii="Calibri" w:hAnsi="Calibri"/>
          <w:sz w:val="22"/>
        </w:rPr>
        <w:t>python-docx — report generation</w:t>
      </w:r>
    </w:p>
    <w:p>
      <w:pPr>
        <w:spacing w:before="0" w:after="120" w:lineRule="auto" w:line="264"/>
        <w:jc w:val="left"/>
      </w:pPr>
      <w:r>
        <w:rPr>
          <w:rFonts w:ascii="Calibri" w:hAnsi="Calibri"/>
          <w:b/>
          <w:sz w:val="22"/>
        </w:rPr>
        <w:t>Key Dependencies (requirements.txt)</w:t>
      </w:r>
    </w:p>
    <w:p>
      <w:pPr>
        <w:spacing w:before="0" w:after="120" w:lineRule="auto" w:line="264"/>
        <w:jc w:val="left"/>
      </w:pPr>
      <w:r>
        <w:rPr>
          <w:rFonts w:ascii="Calibri" w:hAnsi="Calibri"/>
          <w:sz w:val="20"/>
        </w:rPr>
        <w:t>numpy&gt;=1.24, pandas&gt;=2.0, scipy&gt;=1.11, scikit-learn&gt;=1.3, xgboost&gt;=2.0, lightgbm&gt;=4.0, category-encoders&gt;=2.6, optuna&gt;=3.3, shap&gt;=0.42, matplotlib&gt;=3.7, seaborn&gt;=0.12, joblib&gt;=1.3, pyarrow&gt;=12.0, kagglehub&gt;=0.2, jupyter&gt;=1.0, ipykernel&gt;=6.25</w:t>
      </w:r>
    </w:p>
    <w:p>
      <w:r>
        <w:br w:type="page"/>
      </w:r>
    </w:p>
    <w:p>
      <w:pPr>
        <w:pStyle w:val="Heading1"/>
      </w:pPr>
      <w:r>
        <w:t>Appendix D: Report Figure Index</w:t>
      </w:r>
    </w:p>
    <w:p>
      <w:pPr>
        <w:spacing w:before="0" w:after="120" w:lineRule="auto" w:line="264"/>
        <w:jc w:val="left"/>
      </w:pPr>
      <w:r>
        <w:rPr>
          <w:rFonts w:ascii="Calibri" w:hAnsi="Calibri"/>
          <w:sz w:val="22"/>
        </w:rPr>
        <w:t>All figures referenced in this report are saved in reports/figures/ as high-resolution PNG files. The table below lists each figure with its filename and a brief description.</w:t>
      </w:r>
    </w:p>
    <w:tbl>
      <w:tblPr>
        <w:tblW w:type="dxa" w:w="9360"/>
        <w:jc w:val="left"/>
        <w:tblLayout w:type="fixed"/>
        <w:tblLook w:firstColumn="1" w:firstRow="1" w:lastColumn="0" w:lastRow="0" w:noHBand="0" w:noVBand="1" w:val="04A0"/>
        <w:tblInd w:type="dxa" w:w="120"/>
      </w:tblPr>
      <w:tblGrid>
        <w:gridCol w:w="1600"/>
        <w:gridCol w:w="3600"/>
        <w:gridCol w:w="4160"/>
      </w:tblGrid>
      <w:tr>
        <w:trPr/>
        <w:tc>
          <w:tcPr>
            <w:tcW w:type="dxa" w:w="1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Reference</w:t>
            </w:r>
          </w:p>
        </w:tc>
        <w:tc>
          <w:tcPr>
            <w:tcW w:type="dxa" w:w="3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Filename</w:t>
            </w:r>
          </w:p>
        </w:tc>
        <w:tc>
          <w:tcPr>
            <w:tcW w:type="dxa" w:w="41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Description</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Figure 1</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eda_target_imbalance.png</w:t>
            </w:r>
          </w:p>
        </w:tc>
        <w:tc>
          <w:tcPr>
            <w:tcW w:type="dxa" w:w="4160"/>
            <w:vAlign w:val="center"/>
            <w:tcMar>
              <w:top w:w="80" w:type="dxa"/>
              <w:bottom w:w="80" w:type="dxa"/>
              <w:start w:w="120" w:type="dxa"/>
              <w:end w:w="120" w:type="dxa"/>
            </w:tcMar>
          </w:tcPr>
          <w:p>
            <w:pPr>
              <w:spacing w:before="40" w:after="40" w:lineRule="auto" w:line="240"/>
              <w:jc w:val="center"/>
            </w:pPr>
            <w:r/>
            <w:r>
              <w:rPr>
                <w:rFonts w:ascii="Calibri" w:hAnsi="Calibri"/>
                <w:sz w:val="19"/>
              </w:rPr>
              <w:t>Target distribution (8.07% default rate)</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Figure 2</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eda_missing_values.png</w:t>
            </w:r>
          </w:p>
        </w:tc>
        <w:tc>
          <w:tcPr>
            <w:tcW w:type="dxa" w:w="4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Missing value analysis across features</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Figure 3</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eda_correlation_heatmap.png</w:t>
            </w:r>
          </w:p>
        </w:tc>
        <w:tc>
          <w:tcPr>
            <w:tcW w:type="dxa" w:w="4160"/>
            <w:vAlign w:val="center"/>
            <w:tcMar>
              <w:top w:w="80" w:type="dxa"/>
              <w:bottom w:w="80" w:type="dxa"/>
              <w:start w:w="120" w:type="dxa"/>
              <w:end w:w="120" w:type="dxa"/>
            </w:tcMar>
          </w:tcPr>
          <w:p>
            <w:pPr>
              <w:spacing w:before="40" w:after="40" w:lineRule="auto" w:line="240"/>
              <w:jc w:val="center"/>
            </w:pPr>
            <w:r/>
            <w:r>
              <w:rPr>
                <w:rFonts w:ascii="Calibri" w:hAnsi="Calibri"/>
                <w:sz w:val="19"/>
              </w:rPr>
              <w:t>Feature correlation heatmap</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Figure 4</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modeling_roc_comparison.png</w:t>
            </w:r>
          </w:p>
        </w:tc>
        <w:tc>
          <w:tcPr>
            <w:tcW w:type="dxa" w:w="4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ROC curve comparison — all five models</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Figure 5</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modeling_confusion_matrices.png</w:t>
            </w:r>
          </w:p>
        </w:tc>
        <w:tc>
          <w:tcPr>
            <w:tcW w:type="dxa" w:w="4160"/>
            <w:vAlign w:val="center"/>
            <w:tcMar>
              <w:top w:w="80" w:type="dxa"/>
              <w:bottom w:w="80" w:type="dxa"/>
              <w:start w:w="120" w:type="dxa"/>
              <w:end w:w="120" w:type="dxa"/>
            </w:tcMar>
          </w:tcPr>
          <w:p>
            <w:pPr>
              <w:spacing w:before="40" w:after="40" w:lineRule="auto" w:line="240"/>
              <w:jc w:val="center"/>
            </w:pPr>
            <w:r/>
            <w:r>
              <w:rPr>
                <w:rFonts w:ascii="Calibri" w:hAnsi="Calibri"/>
                <w:sz w:val="19"/>
              </w:rPr>
              <w:t>Confusion matrix — LightGBM at threshold 0.485</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Figure 6</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shap_summary_beeswarm.png</w:t>
            </w:r>
          </w:p>
        </w:tc>
        <w:tc>
          <w:tcPr>
            <w:tcW w:type="dxa" w:w="4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SHAP beeswarm summary — feature impact on output</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Figure 7</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partial_dependence_plots.png</w:t>
            </w:r>
          </w:p>
        </w:tc>
        <w:tc>
          <w:tcPr>
            <w:tcW w:type="dxa" w:w="4160"/>
            <w:vAlign w:val="center"/>
            <w:tcMar>
              <w:top w:w="80" w:type="dxa"/>
              <w:bottom w:w="80" w:type="dxa"/>
              <w:start w:w="120" w:type="dxa"/>
              <w:end w:w="120" w:type="dxa"/>
            </w:tcMar>
          </w:tcPr>
          <w:p>
            <w:pPr>
              <w:spacing w:before="40" w:after="40" w:lineRule="auto" w:line="240"/>
              <w:jc w:val="center"/>
            </w:pPr>
            <w:r/>
            <w:r>
              <w:rPr>
                <w:rFonts w:ascii="Calibri" w:hAnsi="Calibri"/>
                <w:sz w:val="19"/>
              </w:rPr>
              <w:t>Partial dependence — top feature relationships</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Figure 8</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waterfall_high_risk.png</w:t>
            </w:r>
          </w:p>
        </w:tc>
        <w:tc>
          <w:tcPr>
            <w:tcW w:type="dxa" w:w="4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SHAP waterfall — high-risk applicant (PD=91.6%)</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Figure 9</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waterfall_low_risk.png</w:t>
            </w:r>
          </w:p>
        </w:tc>
        <w:tc>
          <w:tcPr>
            <w:tcW w:type="dxa" w:w="4160"/>
            <w:vAlign w:val="center"/>
            <w:tcMar>
              <w:top w:w="80" w:type="dxa"/>
              <w:bottom w:w="80" w:type="dxa"/>
              <w:start w:w="120" w:type="dxa"/>
              <w:end w:w="120" w:type="dxa"/>
            </w:tcMar>
          </w:tcPr>
          <w:p>
            <w:pPr>
              <w:spacing w:before="40" w:after="40" w:lineRule="auto" w:line="240"/>
              <w:jc w:val="center"/>
            </w:pPr>
            <w:r/>
            <w:r>
              <w:rPr>
                <w:rFonts w:ascii="Calibri" w:hAnsi="Calibri"/>
                <w:sz w:val="19"/>
              </w:rPr>
              <w:t>SHAP waterfall — low-risk applicant (PD=2.7%)</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Figure 10</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simulation_profit_comparison.png</w:t>
            </w:r>
          </w:p>
        </w:tc>
        <w:tc>
          <w:tcPr>
            <w:tcW w:type="dxa" w:w="4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Profit comparison — all policy scenarios</w:t>
            </w:r>
          </w:p>
        </w:tc>
      </w:tr>
      <w:tr>
        <w:trPr/>
        <w:tc>
          <w:tcPr>
            <w:tcW w:type="dxa" w:w="1600"/>
            <w:vAlign w:val="center"/>
            <w:tcMar>
              <w:top w:w="80" w:type="dxa"/>
              <w:bottom w:w="80" w:type="dxa"/>
              <w:start w:w="120" w:type="dxa"/>
              <w:end w:w="120" w:type="dxa"/>
            </w:tcMar>
          </w:tcPr>
          <w:p>
            <w:pPr>
              <w:spacing w:before="40" w:after="40" w:lineRule="auto" w:line="240"/>
              <w:jc w:val="center"/>
            </w:pPr>
            <w:r/>
            <w:r>
              <w:rPr>
                <w:rFonts w:ascii="Calibri" w:hAnsi="Calibri"/>
                <w:sz w:val="19"/>
              </w:rPr>
              <w:t>Figure 11</w:t>
            </w:r>
          </w:p>
        </w:tc>
        <w:tc>
          <w:tcPr>
            <w:tcW w:type="dxa" w:w="3600"/>
            <w:vAlign w:val="center"/>
            <w:tcMar>
              <w:top w:w="80" w:type="dxa"/>
              <w:bottom w:w="80" w:type="dxa"/>
              <w:start w:w="120" w:type="dxa"/>
              <w:end w:w="120" w:type="dxa"/>
            </w:tcMar>
          </w:tcPr>
          <w:p>
            <w:pPr>
              <w:spacing w:before="40" w:after="40" w:lineRule="auto" w:line="240"/>
              <w:jc w:val="left"/>
            </w:pPr>
            <w:r/>
            <w:r>
              <w:rPr>
                <w:rFonts w:ascii="Calibri" w:hAnsi="Calibri"/>
                <w:sz w:val="19"/>
              </w:rPr>
              <w:t>simulation_profit_curve.png</w:t>
            </w:r>
          </w:p>
        </w:tc>
        <w:tc>
          <w:tcPr>
            <w:tcW w:type="dxa" w:w="4160"/>
            <w:vAlign w:val="center"/>
            <w:tcMar>
              <w:top w:w="80" w:type="dxa"/>
              <w:bottom w:w="80" w:type="dxa"/>
              <w:start w:w="120" w:type="dxa"/>
              <w:end w:w="120" w:type="dxa"/>
            </w:tcMar>
          </w:tcPr>
          <w:p>
            <w:pPr>
              <w:spacing w:before="40" w:after="40" w:lineRule="auto" w:line="240"/>
              <w:jc w:val="center"/>
            </w:pPr>
            <w:r/>
            <w:r>
              <w:rPr>
                <w:rFonts w:ascii="Calibri" w:hAnsi="Calibri"/>
                <w:sz w:val="19"/>
              </w:rPr>
              <w:t>Portfolio profit vs. decision threshold</w:t>
            </w:r>
          </w:p>
        </w:tc>
      </w:tr>
      <w:tr>
        <w:trPr/>
        <w:tc>
          <w:tcPr>
            <w:tcW w:type="dxa" w:w="1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Figure 12</w:t>
            </w:r>
          </w:p>
        </w:tc>
        <w:tc>
          <w:tcPr>
            <w:tcW w:type="dxa" w:w="360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simulation_risk_buckets.png</w:t>
            </w:r>
          </w:p>
        </w:tc>
        <w:tc>
          <w:tcPr>
            <w:tcW w:type="dxa" w:w="416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Default rate by risk bucket</w:t>
            </w:r>
          </w:p>
        </w:tc>
      </w:tr>
    </w:tbl>
    <w:p>
      <w:pPr>
        <w:spacing w:before="80" w:after="80" w:lineRule="auto" w:line="264"/>
        <w:jc w:val="left"/>
      </w:pPr>
      <w:r>
        <w:rPr>
          <w:rFonts w:ascii="Calibri" w:hAnsi="Calibri"/>
          <w:i/>
          <w:color w:val="555555"/>
          <w:sz w:val="18"/>
        </w:rPr>
        <w:t>Table 18: Report figure index with filenames and descriptions</w:t>
      </w:r>
    </w:p>
    <w:p>
      <w:pPr>
        <w:spacing w:before="0" w:after="120" w:lineRule="auto" w:line="264"/>
        <w:jc w:val="left"/>
      </w:pPr>
      <w:r>
        <w:rPr>
          <w:rFonts w:ascii="Calibri" w:hAnsi="Calibri"/>
          <w:sz w:val="22"/>
        </w:rPr>
      </w:r>
    </w:p>
    <w:p>
      <w:pPr>
        <w:spacing w:before="0" w:after="120" w:lineRule="auto" w:line="264"/>
        <w:jc w:val="left"/>
      </w:pPr>
      <w:r>
        <w:rPr>
          <w:rFonts w:ascii="Calibri" w:hAnsi="Calibri"/>
          <w:sz w:val="22"/>
        </w:rPr>
        <w:t>Additional figures available in reports/figures/</w:t>
      </w:r>
    </w:p>
    <w:p>
      <w:pPr>
        <w:spacing w:before="80" w:after="80" w:lineRule="auto" w:line="264"/>
        <w:jc w:val="left"/>
      </w:pPr>
      <w:r>
        <w:rPr>
          <w:rFonts w:ascii="Calibri" w:hAnsi="Calibri"/>
          <w:i/>
          <w:color w:val="555555"/>
          <w:sz w:val="18"/>
        </w:rPr>
        <w:t>Table 19: Additional figures available in reports/figures/</w:t>
      </w:r>
    </w:p>
    <w:tbl>
      <w:tblPr>
        <w:tblW w:type="dxa" w:w="9360"/>
        <w:jc w:val="left"/>
        <w:tblLayout w:type="fixed"/>
        <w:tblLook w:firstColumn="1" w:firstRow="1" w:lastColumn="0" w:lastRow="0" w:noHBand="0" w:noVBand="1" w:val="04A0"/>
        <w:tblInd w:type="dxa" w:w="120"/>
      </w:tblPr>
      <w:tblGrid>
        <w:gridCol w:w="3600"/>
        <w:gridCol w:w="5760"/>
      </w:tblGrid>
      <w:tr>
        <w:trPr/>
        <w:tc>
          <w:tcPr>
            <w:tcW w:type="dxa" w:w="360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Filename</w:t>
            </w:r>
          </w:p>
        </w:tc>
        <w:tc>
          <w:tcPr>
            <w:tcW w:type="dxa" w:w="5760"/>
            <w:shd w:fill="F2F4F7" w:val="clear"/>
            <w:vAlign w:val="center"/>
            <w:tcMar>
              <w:top w:w="80" w:type="dxa"/>
              <w:bottom w:w="80" w:type="dxa"/>
              <w:start w:w="120" w:type="dxa"/>
              <w:end w:w="120" w:type="dxa"/>
            </w:tcMar>
          </w:tcPr>
          <w:p>
            <w:pPr>
              <w:spacing w:before="40" w:after="40" w:lineRule="auto" w:line="240"/>
              <w:jc w:val="center"/>
            </w:pPr>
            <w:r/>
            <w:r>
              <w:rPr>
                <w:rFonts w:ascii="Calibri" w:hAnsi="Calibri"/>
                <w:b/>
                <w:color w:val="1F3A5F"/>
                <w:sz w:val="20"/>
              </w:rPr>
              <w:t>Description</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eda_numeric_distributions.png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Numeric feature distributions</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eda_categorical_distributions.png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Categorical feature distributions</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eda_outliers.png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Outlier analysis</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eda_default_rate_age.png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Default rate by age group</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eda_default_rate_categorical.png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Default rate by categorical features</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eda_default_rate_ext_source.png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Default rate by EXT_SOURCE decile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modeling_threshold_tuning.png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Threshold tuning curve</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shap_bar_plot.png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SHAP bar plot — top features</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permutation_importance.png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Permutation importance results</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native_feature_importance.png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Native LightGBM feature importance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simulation_tradeoff.png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Approval vs. default rate tradeoff</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dashboard_shap_beeswarm.png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Dashboard-ready SHAP beeswarm</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dashboard_waterfall_high_risk.png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Dashboard waterfall — high-risk</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dashboard_waterfall_low_risk.png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Dashboard waterfall — low-risk</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dashboard_seg_age.png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Dashboard segment analysis — age</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dashboard_seg_income.png</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Dashboard segment analysis — income</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dashboard_seg_ext_source.png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Dashboard segment analysis — EXT_SOURCE</w:t>
            </w:r>
          </w:p>
        </w:tc>
      </w:tr>
      <w:tr>
        <w:trPr/>
        <w:tc>
          <w:tcPr>
            <w:tcW w:type="dxa" w:w="3600"/>
            <w:shd w:fill="F8F9FA" w:val="clear"/>
            <w:vAlign w:val="center"/>
            <w:tcMar>
              <w:top w:w="80" w:type="dxa"/>
              <w:bottom w:w="80" w:type="dxa"/>
              <w:start w:w="120" w:type="dxa"/>
              <w:end w:w="120" w:type="dxa"/>
            </w:tcMar>
          </w:tcPr>
          <w:p>
            <w:pPr>
              <w:spacing w:before="40" w:after="40" w:lineRule="auto" w:line="240"/>
              <w:jc w:val="center"/>
            </w:pPr>
            <w:r/>
            <w:r>
              <w:rPr>
                <w:rFonts w:ascii="Calibri" w:hAnsi="Calibri"/>
                <w:sz w:val="19"/>
              </w:rPr>
              <w:t>force_plot_high_risk.html</w:t>
            </w:r>
          </w:p>
        </w:tc>
        <w:tc>
          <w:tcPr>
            <w:tcW w:type="dxa" w:w="5760"/>
            <w:shd w:fill="F8F9FA" w:val="clear"/>
            <w:vAlign w:val="center"/>
            <w:tcMar>
              <w:top w:w="80" w:type="dxa"/>
              <w:bottom w:w="80" w:type="dxa"/>
              <w:start w:w="120" w:type="dxa"/>
              <w:end w:w="120" w:type="dxa"/>
            </w:tcMar>
          </w:tcPr>
          <w:p>
            <w:pPr>
              <w:spacing w:before="40" w:after="40" w:lineRule="auto" w:line="240"/>
              <w:jc w:val="left"/>
            </w:pPr>
            <w:r/>
            <w:r>
              <w:rPr>
                <w:rFonts w:ascii="Calibri" w:hAnsi="Calibri"/>
                <w:sz w:val="19"/>
              </w:rPr>
              <w:t>Interactive force plot — high-risk (HTML)</w:t>
            </w:r>
          </w:p>
        </w:tc>
      </w:tr>
      <w:tr>
        <w:trPr/>
        <w:tc>
          <w:tcPr>
            <w:tcW w:type="dxa" w:w="3600"/>
            <w:vAlign w:val="center"/>
            <w:tcMar>
              <w:top w:w="80" w:type="dxa"/>
              <w:bottom w:w="80" w:type="dxa"/>
              <w:start w:w="120" w:type="dxa"/>
              <w:end w:w="120" w:type="dxa"/>
            </w:tcMar>
          </w:tcPr>
          <w:p>
            <w:pPr>
              <w:spacing w:before="40" w:after="40" w:lineRule="auto" w:line="240"/>
              <w:jc w:val="center"/>
            </w:pPr>
            <w:r/>
            <w:r>
              <w:rPr>
                <w:rFonts w:ascii="Calibri" w:hAnsi="Calibri"/>
                <w:sz w:val="19"/>
              </w:rPr>
              <w:t>force_plot_high_risk.png</w:t>
            </w:r>
          </w:p>
        </w:tc>
        <w:tc>
          <w:tcPr>
            <w:tcW w:type="dxa" w:w="5760"/>
            <w:vAlign w:val="center"/>
            <w:tcMar>
              <w:top w:w="80" w:type="dxa"/>
              <w:bottom w:w="80" w:type="dxa"/>
              <w:start w:w="120" w:type="dxa"/>
              <w:end w:w="120" w:type="dxa"/>
            </w:tcMar>
          </w:tcPr>
          <w:p>
            <w:pPr>
              <w:spacing w:before="40" w:after="40" w:lineRule="auto" w:line="240"/>
              <w:jc w:val="left"/>
            </w:pPr>
            <w:r/>
            <w:r>
              <w:rPr>
                <w:rFonts w:ascii="Calibri" w:hAnsi="Calibri"/>
                <w:sz w:val="19"/>
              </w:rPr>
              <w:t>Force plot image — high-risk</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jc w:val="left"/>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Rule="auto" w:line="264"/>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64"/>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64"/>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Rule="auto" w:line="280"/>
      <w:contextualSpacing/>
      <w:jc w:val="left"/>
    </w:pPr>
    <w:rPr>
      <w:rFonts w:ascii="Calibri" w:hAnsi="Calibri"/>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