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000000"/>
          <w:sz w:val="36"/>
        </w:rPr>
        <w:t>腾讯控股有限公司授信分析报告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腾讯控股有限公司授信分析报告</w:t>
      </w:r>
    </w:p>
    <w:p>
      <w:pPr>
        <w:spacing w:after="120"/>
      </w:pPr>
      <w:r>
        <w:t>报告日期：2026年X月X日</w:t>
      </w:r>
    </w:p>
    <w:p>
      <w:pPr>
        <w:spacing w:after="120"/>
      </w:pPr>
      <w:r>
        <w:t>借款人：腾讯控股有限公司</w:t>
      </w:r>
    </w:p>
    <w:p>
      <w:pPr>
        <w:spacing w:after="120"/>
      </w:pPr>
      <w:r>
        <w:t>信用评级：AAA</w:t>
      </w:r>
    </w:p>
    <w:p>
      <w:pPr>
        <w:spacing w:after="120"/>
      </w:pPr>
      <w: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第一部分：申报方案分析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 多维度风险及缓释措施分析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1.1.1 利率风险</w:t>
      </w:r>
    </w:p>
    <w:p>
      <w:pPr>
        <w:spacing w:after="120"/>
      </w:pPr>
      <w:r>
        <w:t>风险描述：当前市场利率处于波动下行周期，若未来利率上行将增加公司融资成本，对盈利水平产生一定影响。腾讯作为头部科技企业，融资渠道多元，利率波动对整体成本影响有限。</w:t>
      </w:r>
    </w:p>
    <w:p>
      <w:pPr>
        <w:spacing w:after="120"/>
      </w:pPr>
      <w:r>
        <w:t>影响程度：低</w:t>
      </w:r>
    </w:p>
    <w:p>
      <w:pPr>
        <w:spacing w:after="120"/>
      </w:pPr>
      <w:r>
        <w:t>缓释措施：</w:t>
      </w:r>
    </w:p>
    <w:p>
      <w:pPr>
        <w:spacing w:after="120"/>
      </w:pPr>
      <w:r>
        <w:t>- 公司目前资产负债率保持在45%左右的合理水平，有息负债占比不足20%，利率敏感性较低</w:t>
      </w:r>
    </w:p>
    <w:p>
      <w:pPr>
        <w:spacing w:after="120"/>
      </w:pPr>
      <w:r>
        <w:t>- 可通过利率互换、掉期等金融衍生品对冲利率风险</w:t>
      </w:r>
    </w:p>
    <w:p>
      <w:pPr>
        <w:spacing w:after="120"/>
      </w:pPr>
      <w:r>
        <w:t>- 保持多元化融资渠道，包括银行贷款、债券发行、股权融资等，降低对单一融资工具的依赖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1.1.2 外汇风险</w:t>
      </w:r>
    </w:p>
    <w:p>
      <w:pPr>
        <w:spacing w:after="120"/>
      </w:pPr>
      <w:r>
        <w:t>风险描述：腾讯海外业务占比逐年提升，2024年海外收入占比已超过25%，主要涉及美元、欧元等币种，汇率波动可能对合并报表利润产生影响。</w:t>
      </w:r>
    </w:p>
    <w:p>
      <w:pPr>
        <w:spacing w:after="120"/>
      </w:pPr>
      <w:r>
        <w:t>影响程度：中</w:t>
      </w:r>
    </w:p>
    <w:p>
      <w:pPr>
        <w:spacing w:after="120"/>
      </w:pPr>
      <w:r>
        <w:t>缓释措施：</w:t>
      </w:r>
    </w:p>
    <w:p>
      <w:pPr>
        <w:spacing w:after="120"/>
      </w:pPr>
      <w:r>
        <w:t>- 建立完善的外汇风险管理体系，对海外业务收入进行自然对冲</w:t>
      </w:r>
    </w:p>
    <w:p>
      <w:pPr>
        <w:spacing w:after="120"/>
      </w:pPr>
      <w:r>
        <w:t>- 合理使用外汇远期、期权等衍生工具对冲汇率风险</w:t>
      </w:r>
    </w:p>
    <w:p>
      <w:pPr>
        <w:spacing w:after="120"/>
      </w:pPr>
      <w:r>
        <w:t>- 逐步推动海外业务本地化运营，降低汇率波动影响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1.1.3 合规风险</w:t>
      </w:r>
    </w:p>
    <w:p>
      <w:pPr>
        <w:spacing w:after="120"/>
      </w:pPr>
      <w:r>
        <w:t>风险描述：互联网行业监管政策持续完善，在数据安全、反垄断、未成年人保护等方面监管要求不断提高，若公司未能及时满足监管要求可能面临合规风险。</w:t>
      </w:r>
    </w:p>
    <w:p>
      <w:pPr>
        <w:spacing w:after="120"/>
      </w:pPr>
      <w:r>
        <w:t>影响程度：中</w:t>
      </w:r>
    </w:p>
    <w:p>
      <w:pPr>
        <w:spacing w:after="120"/>
      </w:pPr>
      <w:r>
        <w:t>缓释措施：</w:t>
      </w:r>
    </w:p>
    <w:p>
      <w:pPr>
        <w:spacing w:after="120"/>
      </w:pPr>
      <w:r>
        <w:t>- 设立专门的合规管理部门，建立覆盖全业务线的合规管理体系</w:t>
      </w:r>
    </w:p>
    <w:p>
      <w:pPr>
        <w:spacing w:after="120"/>
      </w:pPr>
      <w:r>
        <w:t>- 持续加大合规投入，定期开展合规审查和内部审计</w:t>
      </w:r>
    </w:p>
    <w:p>
      <w:pPr>
        <w:spacing w:after="120"/>
      </w:pPr>
      <w:r>
        <w:t>- 保持与监管部门的常态化沟通，及时了解政策动向并调整业务策略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1.1.4 声誉风险</w:t>
      </w:r>
    </w:p>
    <w:p>
      <w:pPr>
        <w:spacing w:after="120"/>
      </w:pPr>
      <w:r>
        <w:t>风险描述：作为公众关注度极高的互联网头部企业，任何负面舆情都可能对公司品牌形象和业务开展产生影响。</w:t>
      </w:r>
    </w:p>
    <w:p>
      <w:pPr>
        <w:spacing w:after="120"/>
      </w:pPr>
      <w:r>
        <w:t>影响程度：中</w:t>
      </w:r>
    </w:p>
    <w:p>
      <w:pPr>
        <w:spacing w:after="120"/>
      </w:pPr>
      <w:r>
        <w:t>缓释措施：</w:t>
      </w:r>
    </w:p>
    <w:p>
      <w:pPr>
        <w:spacing w:after="120"/>
      </w:pPr>
      <w:r>
        <w:t>- 建立完善的舆情监测和危机公关处理机制</w:t>
      </w:r>
    </w:p>
    <w:p>
      <w:pPr>
        <w:spacing w:after="120"/>
      </w:pPr>
      <w:r>
        <w:t>- 始终坚持"科技向善"的企业使命，积极履行社会责任</w:t>
      </w:r>
    </w:p>
    <w:p>
      <w:pPr>
        <w:spacing w:after="120"/>
      </w:pPr>
      <w:r>
        <w:t>- 持续提升产品和服务质量，保障用户权益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1.1.5 操作风险</w:t>
      </w:r>
    </w:p>
    <w:p>
      <w:pPr>
        <w:spacing w:after="120"/>
      </w:pPr>
      <w:r>
        <w:t>风险描述：公司业务规模庞大，涉及海量用户数据和交易，若出现系统故障、数据泄露等操作风险事件，可能对公司经营产生重大影响。</w:t>
      </w:r>
    </w:p>
    <w:p>
      <w:pPr>
        <w:spacing w:after="120"/>
      </w:pPr>
      <w:r>
        <w:t>影响程度：高</w:t>
      </w:r>
    </w:p>
    <w:p>
      <w:pPr>
        <w:spacing w:after="120"/>
      </w:pPr>
      <w:r>
        <w:t>缓释措施：</w:t>
      </w:r>
    </w:p>
    <w:p>
      <w:pPr>
        <w:spacing w:after="120"/>
      </w:pPr>
      <w:r>
        <w:t>- 建立行业领先的信息安全和数据保护体系，每年在技术安全方面投入超过百亿元</w:t>
      </w:r>
    </w:p>
    <w:p>
      <w:pPr>
        <w:spacing w:after="120"/>
      </w:pPr>
      <w:r>
        <w:t>- 建立多机房容灾备份机制，确保系统稳定运行</w:t>
      </w:r>
    </w:p>
    <w:p>
      <w:pPr>
        <w:spacing w:after="120"/>
      </w:pPr>
      <w:r>
        <w:t>- 定期开展安全演练和压力测试，提升应急响应能力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1.1.6 市场风险</w:t>
      </w:r>
    </w:p>
    <w:p>
      <w:pPr>
        <w:spacing w:after="120"/>
      </w:pPr>
      <w:r>
        <w:t>风险描述：互联网行业竞争激烈，技术迭代速度快，若公司不能持续保持技术领先和产品创新能力，可能面临市场份额下降的风险。</w:t>
      </w:r>
    </w:p>
    <w:p>
      <w:pPr>
        <w:spacing w:after="120"/>
      </w:pPr>
      <w:r>
        <w:t>影响程度：中</w:t>
      </w:r>
    </w:p>
    <w:p>
      <w:pPr>
        <w:spacing w:after="120"/>
      </w:pPr>
      <w:r>
        <w:t>缓释措施：</w:t>
      </w:r>
    </w:p>
    <w:p>
      <w:pPr>
        <w:spacing w:after="120"/>
      </w:pPr>
      <w:r>
        <w:t>- 持续加大研发投入，2025年Q1研发开支达189亿元，AI等前沿技术领域布局领先</w:t>
      </w:r>
    </w:p>
    <w:p>
      <w:pPr>
        <w:spacing w:after="120"/>
      </w:pPr>
      <w:r>
        <w:t>- 依托微信、QQ等核心社交平台构建的生态壁垒，用户粘性极高</w:t>
      </w:r>
    </w:p>
    <w:p>
      <w:pPr>
        <w:spacing w:after="120"/>
      </w:pPr>
      <w:r>
        <w:t>- 完善的投资并购体系，通过股权投资布局前沿赛道，保持技术和产业领先性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1.2 同业授信情况分析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1.2.1 客户与金融同业整体合作情况</w:t>
      </w:r>
    </w:p>
    <w:p>
      <w:pPr>
        <w:spacing w:after="120"/>
      </w:pPr>
      <w:r>
        <w:t>腾讯作为国内信用评级最高的企业之一，与所有国有大型银行、股份制银行均保持良好合作关系，目前整体授信规模超过5000亿元，实际使用额度不足1000亿元，授信储备充足。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合作银行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授信额度（亿元）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授信期限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利率水平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已使用额度（亿元）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中国工商银行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LPR-50BP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中国建设银行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750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LPR-50BP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中国农业银行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LPR-50BP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中国银行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LPR-50BP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招商银行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LPR-45BP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其他股份制银行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1-3年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LPR-40~50BP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400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940</w:t>
            </w:r>
          </w:p>
        </w:tc>
      </w:tr>
    </w:tbl>
    <w:p>
      <w:pPr>
        <w:spacing w:after="120"/>
      </w:pPr>
      <w:r>
        <w:t>信用违约情况说明：腾讯成立以来从未发生任何信用违约记录，在所有金融机构的征信记录均为良好，是国内信用记录最好的企业之一。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1.2.2 近期其他重要银企合作事项说明</w:t>
      </w:r>
    </w:p>
    <w:p>
      <w:pPr>
        <w:spacing w:after="120"/>
      </w:pPr>
      <w:r>
        <w:t>2025年以来，腾讯与多家银行在金融科技、AI赋能、跨境支付等领域开展深度合作，共同推动金融行业数字化转型。其中与工商银行联合打造的AI金融服务平台已正式上线，服务用户超过1亿人。</w:t>
      </w:r>
    </w:p>
    <w:p>
      <w:pPr>
        <w:spacing w:after="120"/>
      </w:pPr>
      <w: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第二部分：客户分析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2.1 公司架构图</w:t>
      </w:r>
    </w:p>
    <w:p>
      <w:pPr>
        <w:spacing w:after="120"/>
      </w:pPr>
      <w:r>
        <w:t>腾讯控股采用扁平化的集团管理架构，下设六大事业群（BG），分别为：微信事业群（WXG）、企业微信事业群、互动娱乐事业群（IEG）、网络媒体事业群（OMG）、云与智慧产业事业群（CSIG）、技术工程事业群（TEG）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 集团介绍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2.2.1 背景介绍</w:t>
      </w:r>
    </w:p>
    <w:p>
      <w:pPr>
        <w:spacing w:after="120"/>
      </w:pPr>
      <w:r>
        <w:t>腾讯控股有限公司成立于1998年11月，由马化腾、张志东等五位创始人共同创立，2004年在香港联交所主板上市（股票代码：00700.HK），是全球领先的互联网科技与文化创新公司。截至2025年Q1，公司总资产超过2万亿元，市值超过6.5万亿港元，是中国市值最高的上市公司之一。</w:t>
      </w:r>
    </w:p>
    <w:p>
      <w:pPr>
        <w:spacing w:after="120"/>
      </w:pPr>
      <w:r>
        <w:t>实际控制人情况：公司实际控制人为马化腾先生，直接及间接持有公司约8.5%的股份，拥有超过30%的投票权。马化腾先生1971年出生，毕业于深圳大学计算机专业，拥有超过30年的互联网行业从业经验，是中国互联网行业的领军人物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2.2.2 业务板块介绍</w:t>
      </w:r>
    </w:p>
    <w:p>
      <w:pPr>
        <w:spacing w:after="120"/>
      </w:pPr>
      <w:r>
        <w:t>腾讯业务主要分为三大板块：增值服务、网络广告、金融科技及企业服务。近三年各业务板块收入及占比情况如下：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业务板块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2022年收入（亿元）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2022年占比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2023年收入（亿元）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2023年占比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2024年收入（亿元）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2024年占比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增值服务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2876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52%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3079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51%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3235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49%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网络广告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827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952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16%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1100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17%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金融科技及企业服务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1771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32%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2059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33%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2236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34%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5546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6090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6603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</w:tbl>
    <w:p>
      <w:pPr>
        <w:spacing w:after="120"/>
      </w:pPr>
      <w:r>
        <w:t>![腾讯控股2024年业务板块收入占比](https://coze-coding-project.tos.coze.site/coze_storage_7606923198810030132/image/generate_image_519ac4ff-5c63-4ba5-a5a9-0116fe64ea8e.jpeg?sign=1803911257-0d3cf020e0-0-53ce75e22c5dd83863513b957cf68b5624014b71289a88b05e940f69df341502)</w:t>
      </w:r>
    </w:p>
    <w:p>
      <w:pPr>
        <w:spacing w:after="120"/>
      </w:pPr>
      <w:r>
        <w:t>业务板块趋势分析：</w:t>
      </w:r>
    </w:p>
    <w:p>
      <w:pPr>
        <w:spacing w:after="120"/>
      </w:pPr>
      <w:r>
        <w:t>- 增值服务板块保持稳定增长，其中国际游戏业务增长迅速，2024年海外游戏收入占比已超过30%</w:t>
      </w:r>
    </w:p>
    <w:p>
      <w:pPr>
        <w:spacing w:after="120"/>
      </w:pPr>
      <w:r>
        <w:t>- 网络广告板块复苏明显，受益于宏观经济回暖及视频号广告商业化加速，2024年同比增长15.5%</w:t>
      </w:r>
    </w:p>
    <w:p>
      <w:pPr>
        <w:spacing w:after="120"/>
      </w:pPr>
      <w:r>
        <w:t>- 金融科技及企业服务板块持续高速增长，腾讯云市场份额稳居国内前二，金融科技业务盈利能力不断提升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2.2.3 集团合并财务情况简述</w:t>
      </w:r>
    </w:p>
    <w:p>
      <w:pPr>
        <w:spacing w:after="120"/>
      </w:pPr>
      <w:r>
        <w:t>近三年集团主要财务指标如下：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2022年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2023年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2024年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复合增长率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营业收入（亿元）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5546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6090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6603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净利润（非IFRS，亿元）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1882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2067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2227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8.8%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总资产（亿元）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16120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17940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19650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10.4%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净资产（亿元）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8780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9760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10800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10.9%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资产负债率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45.5%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45.6%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45.0%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经营活动现金流净额（亿元）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2100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2420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2650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12.3%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44.2%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44.8%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45.5%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净利率（非IFRS）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33.9%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33.9%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33.7%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>
      <w:pPr>
        <w:spacing w:after="120"/>
      </w:pPr>
      <w:r>
        <w:t>![腾讯控股2022-2024年营收对比](https://coze-coding-project.tos.coze.site/coze_storage_7606923198810030132/image/generate_image_018732ec-a25c-442f-a4ed-274ef0bc16d2.jpeg?sign=1803911241-25cba46252-0-e730fc11458d01c725982384bd1c4c057f1b08a602040422ee4c0b20281b2f19)</w:t>
      </w:r>
    </w:p>
    <w:p>
      <w:pPr>
        <w:spacing w:after="120"/>
      </w:pPr>
      <w:r>
        <w:t>![腾讯控股2022-2024年净利润变化趋势](https://coze-coding-project.tos.coze.site/coze_storage_7606923198810030132/image/generate_image_6cbce778-8815-4984-8f14-94dfd5bec957.jpeg?sign=1803911272-04b2c746e1-0-613d17fc316a71fce098c7b29c1a882246dcd511940e8481e7f6ac297d6482bd)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2.2.4 集团关联交易情况概述</w:t>
      </w:r>
    </w:p>
    <w:p>
      <w:pPr>
        <w:spacing w:after="120"/>
      </w:pPr>
      <w:r>
        <w:t>集团关联交易主要集中在与被投资企业之间的业务合作，包括游戏联运、云服务采购、广告投放等。2024年关联交易总金额约350亿元，占营业收入比重约5.3%，处于合理水平。所有关联交易均按照市场化原则定价，履行了必要的内部审批和信息披露程序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2.2.5 集团近期重大事项</w:t>
      </w:r>
    </w:p>
    <w:p>
      <w:pPr>
        <w:spacing w:after="120"/>
      </w:pPr>
      <w:r>
        <w:t>- 2025年Q1研发投入达189亿元，AI大模型、算力基础设施等领域投入持续加大，混元大模型性能处于国内第一梯队</w:t>
      </w:r>
    </w:p>
    <w:p>
      <w:pPr>
        <w:spacing w:after="120"/>
      </w:pPr>
      <w:r>
        <w:t>- 视频号日活跃用户已超过9亿，广告加载率和变现效率持续提升，2024年视频号广告收入超过600亿元</w:t>
      </w:r>
    </w:p>
    <w:p>
      <w:pPr>
        <w:spacing w:after="120"/>
      </w:pPr>
      <w:r>
        <w:t>- 海外业务拓展顺利，2024年国际游戏收入同比增长18%，东南亚等新兴市场支付业务渗透率不断提升</w:t>
      </w:r>
    </w:p>
    <w:p>
      <w:pPr>
        <w:spacing w:after="120"/>
      </w:pPr>
      <w:r>
        <w:t>- 无重大负面舆情或法律诉讼事项，公司经营情况一切正常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2.3 借款人经营分析</w:t>
      </w:r>
    </w:p>
    <w:p>
      <w:pPr>
        <w:spacing w:after="120"/>
      </w:pPr>
      <w:r>
        <w:t>本次授信主体为腾讯控股有限公司（合并口径），作为集团总部，承担整体融资、战略规划、投资决策等职能。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2.3.1 管理层简介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职务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教育背景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从业经历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马化腾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董事会主席兼首席执行官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深圳大学计算机学士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公司创始人，拥有30年互联网行业管理经验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刘炽平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执行董事兼总裁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斯坦福大学电子工程硕士、西北大学凯洛格商学院MBA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2005年加入腾讯，负责公司战略、投资、国际化等业务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许晨晔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首席信息官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南京大学计算机学士、深圳大学计算机硕士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公司创始人，负责公司信息系统、数据平台建设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陈一丹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终身荣誉顾问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深圳大学化学学士、南京大学法律硕士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公司创始人，原首席行政官，现主要负责公益事业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汤道生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云与智慧产业事业群CEO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美国密歇根大学计算机工程学士、斯坦福大学电子工程硕士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2005年加入腾讯，负责腾讯云、企业服务等业务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2.3.2 经营情况分析</w:t>
      </w:r>
    </w:p>
    <w:p>
      <w:pPr>
        <w:spacing w:after="120"/>
      </w:pPr>
      <w:r>
        <w:t>腾讯核心竞争优势主要体现在以下几个方面：</w:t>
      </w:r>
    </w:p>
    <w:p>
      <w:pPr>
        <w:spacing w:after="120"/>
      </w:pPr>
      <w:r>
        <w:t>1. 社交生态壁垒极高：微信和QQ合计月活跃用户超过13亿，覆盖几乎所有中国网民，用户日均使用时长超过4小时，是国内流量入口的绝对霸主。依托社交生态衍生出的支付、游戏、广告、云服务等业务具备天然的流量优势，获客成本远低于行业平均水平。</w:t>
      </w:r>
    </w:p>
    <w:p>
      <w:pPr>
        <w:spacing w:after="120"/>
      </w:pPr>
      <w:r>
        <w:t>2. 游戏业务全球领先：是全球最大的游戏公司之一，拥有《王者荣耀》《和平精英》《英雄联盟》等多款现象级游戏产品，研发和发行能力全球领先。海外业务拓展顺利，2024年海外游戏收入占比已超过30%，未来增长空间广阔。</w:t>
      </w:r>
    </w:p>
    <w:p>
      <w:pPr>
        <w:spacing w:after="120"/>
      </w:pPr>
      <w:r>
        <w:t>3. 金融科技业务生态完善：微信支付国内市场份额超过50%，年交易金额超过300万亿元，覆盖线上线下全场景。支付业务衍生出的理财、信贷、保险等金融服务业务增长迅速，盈利能力不断提升。</w:t>
      </w:r>
    </w:p>
    <w:p>
      <w:pPr>
        <w:spacing w:after="120"/>
      </w:pPr>
      <w:r>
        <w:t>4. To B业务增长迅速：腾讯云市场份额稳居国内前二，在金融、政务、零售等行业优势明显。随着企业数字化转型加速，云服务和企业SaaS业务有望成为公司未来重要的增长极。</w:t>
      </w:r>
    </w:p>
    <w:p>
      <w:pPr>
        <w:spacing w:after="120"/>
      </w:pPr>
      <w:r>
        <w:t>5. AI技术布局领先：早在2016年就开始布局AI技术，目前在大模型、计算机视觉、自然语言处理等领域技术积累深厚。混元大模型性能处于国内第一梯队，已在广告、游戏、云服务等多个业务场景落地，AI红利逐步释放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2.3.3 战略及其他重大投资</w:t>
      </w:r>
    </w:p>
    <w:p>
      <w:pPr>
        <w:spacing w:after="120"/>
      </w:pPr>
      <w:r>
        <w:t>公司未来发展战略主要围绕以下几个方向：</w:t>
      </w:r>
    </w:p>
    <w:p>
      <w:pPr>
        <w:spacing w:after="120"/>
      </w:pPr>
      <w:r>
        <w:t>1. AI战略：加大在大模型、算力基础设施、AI应用场景等方面的投入，力争成为全球AI技术的领导者。计划未来三年在AI领域投入超过1000亿元，建设超过500万张GPU的算力集群。</w:t>
      </w:r>
    </w:p>
    <w:p>
      <w:pPr>
        <w:spacing w:after="120"/>
      </w:pPr>
      <w:r>
        <w:t>2. 全球化战略：加快海外业务拓展，重点布局游戏、支付、云服务等领域，目标未来5年海外收入占比提升至40%以上。</w:t>
      </w:r>
    </w:p>
    <w:p>
      <w:pPr>
        <w:spacing w:after="120"/>
      </w:pPr>
      <w:r>
        <w:t>3. 产业互联网战略：深化To B业务布局，加大在云服务、企业SaaS、工业互联网等领域的投入，助力传统行业数字化转型。</w:t>
      </w:r>
    </w:p>
    <w:p>
      <w:pPr>
        <w:spacing w:after="120"/>
      </w:pPr>
      <w:r>
        <w:t>4. 社会责任战略：持续投入科技公益，在乡村振兴、教育公平、环境保护等领域发挥更大作用。</w:t>
      </w:r>
    </w:p>
    <w:p>
      <w:pPr>
        <w:spacing w:after="120"/>
      </w:pPr>
      <w:r>
        <w:t>重大投资方面，公司长期以来保持审慎的投资策略，投资组合涵盖消费互联网、产业互联网、硬科技等多个领域，累计投资企业超过1000家，其中已有超过100家企业上市，投资浮盈超过万亿元，为公司提供了丰厚的投资回报和战略协同价值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2.3.4 关联交易分析</w:t>
      </w:r>
    </w:p>
    <w:p>
      <w:pPr>
        <w:spacing w:after="120"/>
      </w:pPr>
      <w:r>
        <w:t>如2.2.4章节所述，公司关联交易规模较小，定价公允，不存在通过关联交易转移利益或违规担保等情况，关联交易风险可控。</w:t>
      </w:r>
    </w:p>
    <w:p>
      <w:pPr>
        <w:spacing w:after="120"/>
      </w:pPr>
      <w: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第三部分：财务分析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3.1 报表审计情况核查</w:t>
      </w:r>
    </w:p>
    <w:p>
      <w:pPr>
        <w:spacing w:after="120"/>
      </w:pPr>
      <w:r>
        <w:t>腾讯控股近三年财务报表均由普华永道会计师事务所审计，均出具了标准无保留意见的审计报告，财务数据真实可靠。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3.2 资产负债及偿债能力分析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4"/>
        </w:rPr>
        <w:t>3.2.1 资产结构分析</w:t>
      </w:r>
    </w:p>
    <w:p>
      <w:pPr>
        <w:spacing w:after="120"/>
      </w:pPr>
      <w:r>
        <w:t>截至2024年末，公司总资产19650亿元，主要构成如下：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资产项目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金额（亿元）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流动资产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8780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44.7%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其中：现金及现金等价物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3250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16.5%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短期投资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2890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14.7%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应收账款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1260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6.4%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非流动资产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10870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55.3%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其中：长期股权投资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4870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24.8%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