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3">
      <w:pPr>
        <w:rPr/>
        <w:pStyle w:val="Heading1"/>
      </w:pPr>
      <w:r>
        <w:rPr/>
        <w:t xml:space="preserve">Output Capabilities &amp; Typst Extensibility</w:t>
      </w:r>
    </w:p>
    <w:p w14:paraId="00000005">
      <w:pPr>
        <w:rPr/>
        <w:pStyle w:val="Heading2"/>
      </w:pPr>
      <w:r>
        <w:rPr/>
        <w:t xml:space="preserve">1. Document Headers &amp; Configuration</w:t>
      </w:r>
    </w:p>
    <w:p w14:paraId="00000006">
      <w:pPr>
        <w:rPr/>
      </w:pPr>
      <w:r>
        <w:rPr/>
        <w:t xml:space="preserve">Headers, footers, and page numbers are intrinsically supported via YAML frontmatter blocks. For example, this document has a custom footer string.</w:t>
      </w:r>
    </w:p>
    <w:p w14:paraId="00000008">
      <w:pPr>
        <w:rPr/>
        <w:pStyle w:val="Heading2"/>
      </w:pPr>
      <w:r>
        <w:rPr/>
        <w:t xml:space="preserve">2. Advanced Typography &amp; Tables</w:t>
      </w:r>
    </w:p>
    <w:p w14:paraId="00000009">
      <w:pPr>
        <w:rPr/>
      </w:pPr>
      <w:r>
        <w:rPr/>
        <w:t xml:space="preserve">Because the intermediate format is Typst, typography is mathematically precise. Let's look at a standard Markdown table:</w:t>
      </w:r>
    </w:p>
    <w:tbl>
      <w:tblPr>
        <w:tblW w:w="5000" w:type="pct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autofit"/>
      </w:tblPr>
      <w:tblGrid/>
      <w:tr>
        <w:trPr/>
        <w:tc>
          <w:tcPr/>
          <w:p w14:paraId="0000000c">
            <w:pPr>
              <w:rPr/>
            </w:pPr>
            <w:r>
              <w:rPr/>
              <w:t xml:space="preserve">Subsystem</w:t>
            </w:r>
          </w:p>
        </w:tc>
        <w:tc>
          <w:tcPr/>
          <w:p w14:paraId="0000000e">
            <w:pPr>
              <w:rPr/>
              <w:jc w:val="center"/>
            </w:pPr>
            <w:r>
              <w:rPr/>
              <w:t xml:space="preserve">Underlying Tech</w:t>
            </w:r>
          </w:p>
        </w:tc>
        <w:tc>
          <w:tcPr/>
          <w:p w14:paraId="00000010">
            <w:pPr>
              <w:rPr/>
              <w:jc w:val="right"/>
            </w:pPr>
            <w:r>
              <w:rPr/>
              <w:t xml:space="preserve">Role</w:t>
            </w:r>
          </w:p>
        </w:tc>
        <w:tc>
          <w:tcPr/>
          <w:p w14:paraId="00000012">
            <w:pPr>
              <w:rPr/>
              <w:jc w:val="center"/>
            </w:pPr>
            <w:r>
              <w:rPr/>
              <w:t xml:space="preserve">Status</w:t>
            </w:r>
          </w:p>
        </w:tc>
      </w:tr>
      <w:tr>
        <w:trPr/>
        <w:tc>
          <w:tcPr/>
          <w:p w14:paraId="00000014">
            <w:pPr>
              <w:rPr/>
            </w:pPr>
            <w:r>
              <w:rPr>
                <w:b/>
                <w:bCs/>
              </w:rPr>
              <w:t xml:space="preserve">Parser</w:t>
            </w:r>
          </w:p>
        </w:tc>
        <w:tc>
          <w:tcPr/>
          <w:p w14:paraId="00000016">
            <w:pPr>
              <w:rPr/>
              <w:jc w:val="center"/>
            </w:pPr>
            <w:r>
              <w:rPr>
                <w:rFonts w:ascii="Consolas"/>
              </w:rPr>
              <w:t xml:space="preserve">pulldown-cmark</w:t>
            </w:r>
          </w:p>
        </w:tc>
        <w:tc>
          <w:tcPr/>
          <w:p w14:paraId="00000018">
            <w:pPr>
              <w:rPr/>
              <w:jc w:val="right"/>
            </w:pPr>
            <w:r>
              <w:rPr/>
              <w:t xml:space="preserve">Emits syntax events</w:t>
            </w:r>
          </w:p>
        </w:tc>
        <w:tc>
          <w:tcPr/>
          <w:p w14:paraId="0000001a">
            <w:pPr>
              <w:rPr/>
              <w:jc w:val="center"/>
            </w:pPr>
            <w:r>
              <w:rPr/>
              <w:t xml:space="preserve">✅</w:t>
            </w:r>
          </w:p>
        </w:tc>
      </w:tr>
      <w:tr>
        <w:trPr/>
        <w:tc>
          <w:tcPr/>
          <w:p w14:paraId="0000001c">
            <w:pPr>
              <w:rPr/>
            </w:pPr>
            <w:r>
              <w:rPr>
                <w:b/>
                <w:bCs/>
              </w:rPr>
              <w:t xml:space="preserve">Translator</w:t>
            </w:r>
          </w:p>
        </w:tc>
        <w:tc>
          <w:tcPr/>
          <w:p w14:paraId="0000001e">
            <w:pPr>
              <w:rPr/>
              <w:jc w:val="center"/>
            </w:pPr>
            <w:r>
              <w:rPr>
                <w:rFonts w:ascii="Consolas"/>
              </w:rPr>
              <w:t xml:space="preserve">marksmen-core</w:t>
            </w:r>
          </w:p>
        </w:tc>
        <w:tc>
          <w:tcPr/>
          <w:p w14:paraId="00000020">
            <w:pPr>
              <w:rPr/>
              <w:jc w:val="right"/>
            </w:pPr>
            <w:r>
              <w:rPr/>
              <w:t xml:space="preserve">Maps AST to Typst</w:t>
            </w:r>
          </w:p>
        </w:tc>
        <w:tc>
          <w:tcPr/>
          <w:p w14:paraId="00000022">
            <w:pPr>
              <w:rPr/>
              <w:jc w:val="center"/>
            </w:pPr>
            <w:r>
              <w:rPr/>
              <w:t xml:space="preserve">✅</w:t>
            </w:r>
          </w:p>
        </w:tc>
      </w:tr>
      <w:tr>
        <w:trPr/>
        <w:tc>
          <w:tcPr/>
          <w:p w14:paraId="00000024">
            <w:pPr>
              <w:rPr/>
            </w:pPr>
            <w:r>
              <w:rPr>
                <w:b/>
                <w:bCs/>
              </w:rPr>
              <w:t xml:space="preserve">Compiler</w:t>
            </w:r>
          </w:p>
        </w:tc>
        <w:tc>
          <w:tcPr/>
          <w:p w14:paraId="00000026">
            <w:pPr>
              <w:rPr/>
              <w:jc w:val="center"/>
            </w:pPr>
            <w:r>
              <w:rPr>
                <w:rFonts w:ascii="Consolas"/>
              </w:rPr>
              <w:t xml:space="preserve">typst</w:t>
            </w:r>
          </w:p>
        </w:tc>
        <w:tc>
          <w:tcPr/>
          <w:p w14:paraId="00000028">
            <w:pPr>
              <w:rPr/>
              <w:jc w:val="right"/>
            </w:pPr>
            <w:r>
              <w:rPr/>
              <w:t xml:space="preserve">Typesets elements</w:t>
            </w:r>
          </w:p>
        </w:tc>
        <w:tc>
          <w:tcPr/>
          <w:p w14:paraId="0000002a">
            <w:pPr>
              <w:rPr/>
              <w:jc w:val="center"/>
            </w:pPr>
            <w:r>
              <w:rPr/>
              <w:t xml:space="preserve">✅</w:t>
            </w:r>
          </w:p>
        </w:tc>
      </w:tr>
      <w:tr>
        <w:trPr/>
        <w:tc>
          <w:tcPr/>
          <w:p w14:paraId="0000002c">
            <w:pPr>
              <w:rPr/>
            </w:pPr>
            <w:r>
              <w:rPr>
                <w:b/>
                <w:bCs/>
              </w:rPr>
              <w:t xml:space="preserve">Exporter</w:t>
            </w:r>
          </w:p>
        </w:tc>
        <w:tc>
          <w:tcPr/>
          <w:p w14:paraId="0000002e">
            <w:pPr>
              <w:rPr/>
              <w:jc w:val="center"/>
            </w:pPr>
            <w:r>
              <w:rPr>
                <w:rFonts w:ascii="Consolas"/>
              </w:rPr>
              <w:t xml:space="preserve">typst-pdf</w:t>
            </w:r>
          </w:p>
        </w:tc>
        <w:tc>
          <w:tcPr/>
          <w:p w14:paraId="00000030">
            <w:pPr>
              <w:rPr/>
              <w:jc w:val="right"/>
            </w:pPr>
            <w:r>
              <w:rPr/>
              <w:t xml:space="preserve">Emits binary format</w:t>
            </w:r>
          </w:p>
        </w:tc>
        <w:tc>
          <w:tcPr/>
          <w:p w14:paraId="00000032">
            <w:pPr>
              <w:rPr/>
              <w:jc w:val="center"/>
            </w:pPr>
            <w:r>
              <w:rPr/>
              <w:t xml:space="preserve">✅</w:t>
            </w:r>
          </w:p>
        </w:tc>
      </w:tr>
    </w:tbl>
    <w:p w14:paraId="0000000a">
      <w:pPr>
        <w:rPr/>
      </w:pPr>
    </w:p>
    <w:p w14:paraId="00000035">
      <w:pPr>
        <w:rPr/>
        <w:pStyle w:val="Heading3"/>
      </w:pPr>
      <w:r>
        <w:rPr/>
        <w:t xml:space="preserve">2.1 CSS &amp; HTML Handling</w:t>
      </w:r>
    </w:p>
    <w:p w14:paraId="00000036">
      <w:pPr>
        <w:rPr/>
      </w:pPr>
      <w:r>
        <w:rPr/>
        <w:t xml:space="preserve">Typst is an analytical typesetting engine, </w:t>
      </w:r>
      <w:r>
        <w:rPr>
          <w:b/>
          <w:bCs/>
        </w:rPr>
        <w:t xml:space="preserve">not a web browser</w:t>
      </w:r>
      <w:r>
        <w:rPr/>
        <w:t xml:space="preserve">. It cannot execute CSS or complex DOM layouts. However, the translator enforces semantic mapping for structural inline HTML subsets:</w:t>
      </w:r>
    </w:p>
    <w:p w14:paraId="00000038">
      <w:pPr>
        <w:rPr/>
        <w:numPr>
          <w:numId w:val="1"/>
          <w:ilvl w:val="0"/>
        </w:numPr>
      </w:pPr>
      <w:r>
        <w:rPr>
          <w:b/>
          <w:bCs/>
        </w:rPr>
        <w:t xml:space="preserve">Underline</w:t>
      </w:r>
      <w:r>
        <w:rPr/>
        <w:t xml:space="preserve">: </w:t>
      </w:r>
      <w:r>
        <w:rPr>
          <w:u w:val="single"/>
        </w:rPr>
        <w:t xml:space="preserve">This text is underlined</w:t>
      </w:r>
      <w:r>
        <w:rPr/>
        <w:t xml:space="preserve"> via </w:t>
      </w:r>
      <w:r>
        <w:rPr>
          <w:rFonts w:ascii="Consolas"/>
        </w:rPr>
        <w:t xml:space="preserve">&lt;u&gt;</w:t>
      </w:r>
    </w:p>
    <w:p w14:paraId="0000003a">
      <w:pPr>
        <w:rPr/>
        <w:numPr>
          <w:numId w:val="1"/>
          <w:ilvl w:val="0"/>
        </w:numPr>
      </w:pPr>
      <w:r>
        <w:rPr>
          <w:b/>
          <w:bCs/>
        </w:rPr>
        <w:t xml:space="preserve">Subscripts</w:t>
      </w:r>
      <w:r>
        <w:rPr/>
        <w:t xml:space="preserve">: H</w:t>
      </w:r>
      <w:r>
        <w:rPr>
          <w:vertAlign w:val="subscript"/>
        </w:rPr>
        <w:t xml:space="preserve">2</w:t>
      </w:r>
      <w:r>
        <w:rPr/>
        <w:t xml:space="preserve">O via </w:t>
      </w:r>
      <w:r>
        <w:rPr>
          <w:rFonts w:ascii="Consolas"/>
        </w:rPr>
        <w:t xml:space="preserve">&lt;sub&gt;</w:t>
      </w:r>
    </w:p>
    <w:p w14:paraId="0000003c">
      <w:pPr>
        <w:rPr/>
        <w:numPr>
          <w:numId w:val="1"/>
          <w:ilvl w:val="0"/>
        </w:numPr>
      </w:pPr>
      <w:r>
        <w:rPr>
          <w:b/>
          <w:bCs/>
        </w:rPr>
        <w:t xml:space="preserve">Superscripts</w:t>
      </w:r>
      <w:r>
        <w:rPr/>
        <w:t xml:space="preserve">: E = mc</w:t>
      </w:r>
      <w:r>
        <w:rPr>
          <w:vertAlign w:val="superscript"/>
        </w:rPr>
        <w:t xml:space="preserve">2</w:t>
      </w:r>
      <w:r>
        <w:rPr/>
        <w:t xml:space="preserve"> via </w:t>
      </w:r>
      <w:r>
        <w:rPr>
          <w:rFonts w:ascii="Consolas"/>
        </w:rPr>
        <w:t xml:space="preserve">&lt;sup&gt;</w:t>
      </w:r>
    </w:p>
    <w:p w14:paraId="0000003e">
      <w:pPr>
        <w:rPr/>
        <w:numPr>
          <w:numId w:val="1"/>
          <w:ilvl w:val="0"/>
        </w:numPr>
      </w:pPr>
      <w:r>
        <w:rPr>
          <w:b/>
          <w:bCs/>
        </w:rPr>
        <w:t xml:space="preserve">Colors</w:t>
      </w:r>
      <w:r>
        <w:rPr/>
        <w:t xml:space="preserve">: </w:t>
      </w:r>
      <w:r>
        <w:rPr/>
        <w:t xml:space="preserve">This text</w:t>
      </w:r>
      <w:r>
        <w:rPr/>
        <w:t xml:space="preserve"> is colored via </w:t>
      </w:r>
      <w:r>
        <w:rPr>
          <w:rFonts w:ascii="Consolas"/>
        </w:rPr>
        <w:t xml:space="preserve">&lt;span style="color: ..."&gt;</w:t>
      </w:r>
    </w:p>
    <w:p w14:paraId="00000040">
      <w:pPr>
        <w:rPr/>
        <w:numPr>
          <w:numId w:val="1"/>
          <w:ilvl w:val="0"/>
        </w:numPr>
      </w:pPr>
      <w:r>
        <w:rPr>
          <w:b/>
          <w:bCs/>
        </w:rPr>
        <w:t xml:space="preserve">Line breaks</w:t>
      </w:r>
      <w:r>
        <w:rPr/>
        <w:t xml:space="preserve">: Forced HTML break </w:t>
      </w:r>
      <w:r>
        <w:rPr/>
        <w:br w:type="textWrapping"/>
      </w:r>
      <w:r>
        <w:rPr/>
        <w:t xml:space="preserve"> is translated correctly.</w:t>
      </w:r>
    </w:p>
    <w:p w14:paraId="00000041">
      <w:pPr>
        <w:rPr/>
      </w:pPr>
      <w:r>
        <w:rPr>
          <w:i/>
          <w:iCs/>
        </w:rPr>
        <w:t xml:space="preserve">Note: Arbitrary </w:t>
      </w:r>
      <w:r>
        <w:rPr>
          <w:i/>
          <w:iCs/>
          <w:rFonts w:ascii="Consolas"/>
        </w:rPr>
        <w:t xml:space="preserve">&lt;div style="padding: 2px"&gt;</w:t>
      </w:r>
      <w:r>
        <w:rPr>
          <w:i/>
          <w:iCs/>
        </w:rPr>
        <w:t xml:space="preserve"> blocks are ignored, preserving architectural invariants against empirical DOM approximations.</w:t>
      </w:r>
    </w:p>
    <w:p w14:paraId="00000043">
      <w:pPr>
        <w:rPr/>
        <w:pStyle w:val="Heading2"/>
      </w:pPr>
      <w:r>
        <w:rPr/>
        <w:t xml:space="preserve">3. Mathematical Typesetting</w:t>
      </w:r>
    </w:p>
    <w:p w14:paraId="00000044">
      <w:pPr>
        <w:rPr/>
      </w:pPr>
      <w:r>
        <w:rPr/>
        <w:t xml:space="preserve">True native math (without KaTeX SVG hacks):</w:t>
      </w:r>
      <w:r>
        <w:rPr/>
        <w:br w:type="textWrapping"/>
      </w:r>
    </w:p>
    <w:p w14:paraId="00000054">
      <w:pPr>
        <w:rPr/>
        <w:jc w:val="center"/>
      </w:pPr>
      <w:r>
        <w:rPr>
          <w:i/>
          <w:iCs/>
          <w:rFonts w:ascii="Cambria Math" w:hAnsi="Cambria Math"/>
        </w:rPr>
        <w:t xml:space="preserve">\mathbf{J} = \nabla \times \mathbf{H} = \sigma \mathbf{E} + \frac{\partial \mathbf{D}}{\partial t}</w:t>
      </w:r>
    </w:p>
    <w:p w14:paraId="00000045">
      <w:pPr>
        <w:rPr/>
      </w:pPr>
      <w:r>
        <w:rPr/>
        <w:t xml:space="preserve">Inline equations like </w:t>
      </w:r>
      <w:r>
        <w:rPr>
          <w:i/>
          <w:iCs/>
          <w:rFonts w:ascii="Cambria Math" w:hAnsi="Cambria Math"/>
        </w:rPr>
        <w:t xml:space="preserve"> \lim_{x \to \infty} f(x) </w:t>
      </w:r>
      <w:r>
        <w:rPr/>
        <w:t xml:space="preserve"> blend seamlessly with the baseline.</w:t>
      </w:r>
    </w:p>
    <w:p w14:paraId="00000002">
      <w:pPr>
        <w:rPr/>
        <w:pStyle w:val="Heading2"/>
      </w:pPr>
      <w:r>
        <w:rPr/>
        <w:t xml:space="preserve">4. Linked SVG Figures</w:t>
      </w:r>
    </w:p>
    <w:p w14:paraId="00000003">
      <w:pPr>
        <w:rPr/>
      </w:pPr>
      <w:r>
        <w:rPr/>
        <w:t xml:space="preserve">Instead of relying on web-based JS to render graphics, Typst handles </w:t>
      </w:r>
      <w:r>
        <w:rPr>
          <w:rFonts w:ascii="Consolas"/>
        </w:rPr>
        <w:t xml:space="preserve">SVG</w:t>
      </w:r>
      <w:r>
        <w:rPr/>
        <w:t xml:space="preserve"> vector embeddings natively without rasterization:</w:t>
      </w:r>
    </w:p>
    <w:p w14:paraId="00000005">
      <w:pPr>
        <w:rPr/>
        <w:jc w:val="center"/>
      </w:pPr>
      <w:r>
        <w:rPr/>
        <w:drawing>
          <wp:inline distT="0" distB="0" distL="0" distR="0">
            <wp:extent cx="5762625" cy="2676525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13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7626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>
      <w:pPr>
        <w:rPr/>
        <w:pStyle w:val="Heading2"/>
      </w:pPr>
      <w:r>
        <w:rPr/>
        <w:t xml:space="preserve">5. Native Diagram Rendering (</w:t>
      </w:r>
      <w:r>
        <w:rPr>
          <w:rFonts w:ascii="Consolas"/>
        </w:rPr>
        <w:t xml:space="preserve">marksmen-mermaid</w:t>
      </w:r>
      <w:r>
        <w:rPr/>
        <w:t xml:space="preserve">)</w:t>
      </w:r>
    </w:p>
    <w:p w14:paraId="00000007">
      <w:pPr>
        <w:rPr/>
        <w:pStyle w:val="Quote"/>
      </w:pPr>
      <w:r>
        <w:rPr>
          <w:b/>
          <w:bCs/>
        </w:rPr>
        <w:t xml:space="preserve">Pure-Rust Mermaid Translation:</w:t>
      </w:r>
      <w:r>
        <w:rPr/>
        <w:br w:type="textWrapping"/>
      </w:r>
      <w:r>
        <w:rPr/>
        <w:t xml:space="preserve">Executing standard </w:t>
      </w:r>
      <w:r>
        <w:rPr>
          <w:rFonts w:ascii="Consolas"/>
        </w:rPr>
        <w:t xml:space="preserve">mermaid.js</w:t>
      </w:r>
      <w:r>
        <w:rPr/>
        <w:t xml:space="preserve"> typically requires evaluating an entire web runtime (V8/Browser) with empirical DOM measurement APIs, which violates our offline-first pure-Rust correctness guarantees.</w:t>
      </w:r>
    </w:p>
    <w:p w14:paraId="00000008">
      <w:pPr>
        <w:rPr/>
        <w:pStyle w:val="Quote"/>
      </w:pPr>
      <w:r>
        <w:rPr>
          <w:i/>
          <w:iCs/>
        </w:rPr>
        <w:t xml:space="preserve">Instead, </w:t>
      </w:r>
      <w:r>
        <w:rPr>
          <w:i/>
          <w:iCs/>
          <w:rFonts w:ascii="Consolas"/>
        </w:rPr>
        <w:t xml:space="preserve">marksmen</w:t>
      </w:r>
      <w:r>
        <w:rPr>
          <w:i/>
          <w:iCs/>
        </w:rPr>
        <w:t xml:space="preserve"> relies on a mathematically-verified </w:t>
      </w:r>
      <w:r>
        <w:rPr>
          <w:i/>
          <w:iCs/>
          <w:rFonts w:ascii="Consolas"/>
        </w:rPr>
        <w:t xml:space="preserve">marksmen-mermaid</w:t>
      </w:r>
      <w:r>
        <w:rPr>
          <w:i/>
          <w:iCs/>
        </w:rPr>
        <w:t xml:space="preserve"> layout engine implementing the Sugiyama Framework. It parses this raw Mermaid block offline and renders it deterministically into Typst spatial vectors!</w:t>
      </w:r>
    </w:p>
    <w:p w14:paraId="0000000a">
      <w:pPr>
        <w:rPr/>
        <w:jc w:val="center"/>
      </w:pPr>
      <w:r>
        <w:rPr/>
        <w:drawing>
          <wp:inline distT="0" distB="0" distL="0" distR="0">
            <wp:extent cx="3200400" cy="3810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14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3200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>
      <w:pPr>
        <w:rPr/>
      </w:pPr>
      <w:r>
        <w:rPr>
          <w:vanish/>
        </w:rPr>
        <w:t xml:space="preserve">```mermaid</w:t>
        <w:br w:type="textWrapping"/>
        <w:t xml:space="preserve">graph TD</w:t>
        <w:br w:type="textWrapping"/>
        <w:t xml:space="preserve">    A[Markdown AST] --&gt; B{Marksmen Core}</w:t>
        <w:br w:type="textWrapping"/>
        <w:t xml:space="preserve">    B --&gt; C[Typst Vectors]</w:t>
        <w:br w:type="textWrapping"/>
        <w:t xml:space="preserve">    C --&gt; D(PDF Output)</w:t>
        <w:br w:type="textWrapping"/>
        <w:t xml:space="preserve">    C --&gt; E(HTML5 Output)</w:t>
        <w:br w:type="textWrapping"/>
        <w:t xml:space="preserve">```</w:t>
      </w:r>
    </w:p>
    <w:p w14:paraId="00000009">
      <w:pPr>
        <w:rPr/>
      </w:pPr>
      <w:r>
        <w:rPr/>
        <w:br w:type="page"/>
      </w:r>
    </w:p>
    <w:p w14:paraId="0000000d">
      <w:pPr>
        <w:rPr/>
        <w:pStyle w:val="Heading2"/>
      </w:pPr>
      <w:r>
        <w:rPr/>
        <w:t xml:space="preserve">Appendix: Mathematical Justifications</w:t>
      </w:r>
    </w:p>
    <w:p w14:paraId="0000000e">
      <w:pPr>
        <w:rPr/>
      </w:pPr>
      <w:r>
        <w:rPr/>
        <w:t xml:space="preserve">Because </w:t>
      </w:r>
      <w:r>
        <w:rPr>
          <w:rFonts w:ascii="Consolas"/>
        </w:rPr>
        <w:t xml:space="preserve">marksmen</w:t>
      </w:r>
      <w:r>
        <w:rPr/>
        <w:t xml:space="preserve"> leverages Typst, we can seamlessly write </w:t>
      </w:r>
      <w:r>
        <w:rPr/>
        <w:drawing>
          <wp:inline distT="0" distB="0" distL="0" distR="0">
            <wp:extent cx="1123950" cy="314325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15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11239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in the middle of text, and be confident that it renders beautifully on a completely separated page.</w:t>
      </w:r>
    </w:p>
    <w:sectPr>
      <w:pgSz w:w="11906" w:h="16838"/>
      <w:pgMar w:top="1701" w:right="1417" w:bottom="1701" w:left="1417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abstractNum w:abstractNumId="1">
    <w:lvl w:ilvl="0">
      <w:start w:val="1"/>
      <w:numFmt w:val="bullet"/>
      <w:lvlText w:val="•"/>
      <w:lvlJc w:val="left"/>
      <w:pPr>
        <w:rPr/>
        <w:ind w:left="720" w:right="0" w:hanging="360"/>
      </w:pPr>
      <w:rPr/>
    </w:lvl>
    <w:lvl w:ilvl="1">
      <w:start w:val="1"/>
      <w:numFmt w:val="bullet"/>
      <w:lvlText w:val="◦"/>
      <w:lvlJc w:val="left"/>
      <w:pPr>
        <w:rPr/>
        <w:ind w:left="1440" w:right="0" w:hanging="360"/>
      </w:pPr>
      <w:rPr/>
    </w:lvl>
    <w:lvl w:ilvl="2">
      <w:start w:val="1"/>
      <w:numFmt w:val="bullet"/>
      <w:lvlText w:val="▪"/>
      <w:lvlJc w:val="left"/>
      <w:pPr>
        <w:rPr/>
        <w:ind w:left="2160" w:right="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rPr/>
        <w:ind w:left="720" w:right="0" w:hanging="360"/>
      </w:pPr>
      <w:rPr/>
    </w:lvl>
    <w:lvl w:ilvl="1">
      <w:start w:val="1"/>
      <w:numFmt w:val="decimal"/>
      <w:lvlText w:val="%2."/>
      <w:lvlJc w:val="left"/>
      <w:pPr>
        <w:rPr/>
        <w:ind w:left="1440" w:right="0" w:hanging="360"/>
      </w:pPr>
      <w:rPr/>
    </w:lvl>
    <w:lvl w:ilvl="2">
      <w:start w:val="1"/>
      <w:numFmt w:val="decimal"/>
      <w:lvlText w:val="%3."/>
      <w:lvlJc w:val="left"/>
      <w:pPr>
        <w:rPr/>
        <w:ind w:left="2160" w:right="0" w:hanging="360"/>
      </w:pPr>
      <w:rPr/>
    </w:lvl>
  </w:abstractNum>
  <w:num w:numId="1">
    <w:abstractNumId w:val="1"/>
  </w: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hAnsi="Arial" w:cs="Arial" w:eastAsia="Arial"/>
      </w:rPr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  <w:style w:type="paragraph" w:styleId="Heading1">
    <w:name w:val="heading 1"/>
    <w:rPr>
      <w:sz w:val="48"/>
      <w:szCs w:val="48"/>
      <w:b/>
      <w:bCs/>
    </w:rPr>
    <w:pPr>
      <w:rPr/>
    </w:pPr>
    <w:qFormat/>
  </w:style>
  <w:style w:type="paragraph" w:styleId="Heading2">
    <w:name w:val="heading 2"/>
    <w:rPr>
      <w:sz w:val="36"/>
      <w:szCs w:val="36"/>
      <w:b/>
      <w:bCs/>
    </w:rPr>
    <w:pPr>
      <w:rPr/>
    </w:pPr>
    <w:qFormat/>
  </w:style>
  <w:style w:type="paragraph" w:styleId="Heading3">
    <w:name w:val="heading 3"/>
    <w:rPr>
      <w:sz w:val="28"/>
      <w:szCs w:val="28"/>
      <w:b/>
      <w:bCs/>
    </w:rPr>
    <w:pPr>
      <w:rPr/>
    </w:pPr>
    <w:qFormat/>
  </w:style>
  <w:style w:type="paragraph" w:styleId="Heading4">
    <w:name w:val="heading 4"/>
    <w:rPr>
      <w:sz w:val="24"/>
      <w:szCs w:val="24"/>
      <w:b/>
      <w:bCs/>
    </w:rPr>
    <w:pPr>
      <w:rPr/>
    </w:pPr>
    <w:qFormat/>
  </w:style>
  <w:style w:type="paragraph" w:styleId="Heading5">
    <w:name w:val="heading 5"/>
    <w:rPr>
      <w:sz w:val="22"/>
      <w:szCs w:val="22"/>
      <w:b/>
      <w:bCs/>
    </w:rPr>
    <w:pPr>
      <w:rPr/>
    </w:pPr>
    <w:qFormat/>
  </w:style>
  <w:style w:type="paragraph" w:styleId="Heading6">
    <w:name w:val="heading 6"/>
    <w:rPr>
      <w:sz w:val="20"/>
      <w:szCs w:val="20"/>
      <w:b/>
      <w:bCs/>
    </w:rPr>
    <w:pPr>
      <w:rPr/>
    </w:pPr>
    <w:qFormat/>
  </w:style>
  <w:style w:type="paragraph" w:styleId="CodeBlock">
    <w:name w:val="CodeBlock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001" Type="http://schemas.openxmlformats.org/officeDocument/2006/relationships/styles" Target="styles.xml" /><Relationship Id="rId1002" Type="http://schemas.openxmlformats.org/officeDocument/2006/relationships/fontTable" Target="fontTable.xml" /><Relationship Id="rId1003" Type="http://schemas.openxmlformats.org/officeDocument/2006/relationships/settings" Target="settings.xml" /><Relationship Id="rId1005" Type="http://schemas.microsoft.com/office/2011/relationships/commentsExtended" Target="commentsExtended.xml" /><Relationship Id="rId1007" Type="http://schemas.openxmlformats.org/officeDocument/2006/relationships/numbering" Target="numbering.xml" /><Relationship Id="rIdImage13" Type="http://schemas.openxmlformats.org/officeDocument/2006/relationships/image" Target="media/rIdImage13.png" /><Relationship Id="rIdImage14" Type="http://schemas.openxmlformats.org/officeDocument/2006/relationships/image" Target="media/rIdImage14.png" /><Relationship Id="rIdImage15" Type="http://schemas.openxmlformats.org/officeDocument/2006/relationships/image" Target="media/rIdImage15.png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