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sz w:val="20"/>
          <w:szCs w:val="20"/>
        </w:rPr>
        <w:t xml:space="preserve"/>
      </w:r>
    </w:p>
    <w:p>
      <w:pPr>
        <w:spacing w:after="240"/>
        <w:jc w:val="center"/>
      </w:pPr>
      <w:r>
        <w:rPr>
          <w:b/>
          <w:bCs/>
          <w:color w:val="595959"/>
          <w:sz w:val="24"/>
          <w:szCs w:val="24"/>
        </w:rPr>
        <w:t xml:space="preserve">PROJETO TÉCNICO</w:t>
      </w:r>
    </w:p>
    <w:p>
      <w:pPr>
        <w:spacing w:after="360" w:line="360"/>
        <w:jc w:val="center"/>
      </w:pPr>
      <w:r>
        <w:rPr>
          <w:b/>
          <w:bCs/>
          <w:color w:val="1F3864"/>
          <w:sz w:val="36"/>
          <w:szCs w:val="36"/>
        </w:rPr>
        <w:t xml:space="preserve">Modelagem da Eficiência Alocativa de Materiais de Apoio na Atenção Primária à Saúde sob Incerteza Estocástica</w:t>
      </w:r>
    </w:p>
    <w:p>
      <w:pPr>
        <w:spacing w:after="1200"/>
        <w:jc w:val="center"/>
      </w:pPr>
      <w:r>
        <w:rPr>
          <w:i/>
          <w:iCs/>
          <w:color w:val="595959"/>
          <w:sz w:val="24"/>
          <w:szCs w:val="24"/>
        </w:rPr>
        <w:t xml:space="preserve">Caracterização de regimes de consumo, projeção de demanda e análise de dominância entre políticas de cota</w:t>
      </w:r>
    </w:p>
    <w:p>
      <w:pPr>
        <w:spacing w:after="60"/>
        <w:jc w:val="center"/>
      </w:pPr>
      <w:r>
        <w:rPr>
          <w:b/>
          <w:bCs/>
          <w:sz w:val="22"/>
          <w:szCs w:val="22"/>
        </w:rPr>
        <w:t xml:space="preserve">Autor</w:t>
      </w:r>
    </w:p>
    <w:p>
      <w:pPr>
        <w:spacing w:after="240"/>
        <w:jc w:val="center"/>
      </w:pPr>
      <w:r>
        <w:rPr>
          <w:sz w:val="22"/>
          <w:szCs w:val="22"/>
        </w:rPr>
        <w:t xml:space="preserve">Ryan Gabriel de Lima Nascimento</w:t>
      </w:r>
    </w:p>
    <w:p>
      <w:pPr>
        <w:spacing w:after="60"/>
        <w:jc w:val="center"/>
      </w:pPr>
      <w:r>
        <w:rPr>
          <w:b/>
          <w:bCs/>
          <w:sz w:val="22"/>
          <w:szCs w:val="22"/>
        </w:rPr>
        <w:t xml:space="preserve">Vínculo institucional</w:t>
      </w:r>
    </w:p>
    <w:p>
      <w:pPr>
        <w:spacing w:after="240"/>
        <w:jc w:val="center"/>
      </w:pPr>
      <w:r>
        <w:rPr>
          <w:sz w:val="22"/>
          <w:szCs w:val="22"/>
        </w:rPr>
        <w:t xml:space="preserve">Dados operacionais reais de rede municipal de APS · identificações suprimidas</w:t>
      </w:r>
    </w:p>
    <w:p>
      <w:pPr>
        <w:spacing w:after="60"/>
        <w:jc w:val="center"/>
      </w:pPr>
      <w:r>
        <w:rPr>
          <w:b/>
          <w:bCs/>
          <w:sz w:val="22"/>
          <w:szCs w:val="22"/>
        </w:rPr>
        <w:t xml:space="preserve">Versão · Data</w:t>
      </w:r>
    </w:p>
    <w:p>
      <w:pPr>
        <w:spacing w:after="60"/>
        <w:jc w:val="center"/>
      </w:pPr>
      <w:r>
        <w:rPr>
          <w:sz w:val="22"/>
          <w:szCs w:val="22"/>
        </w:rPr>
        <w:t xml:space="preserve">1.0 · Maio de 2026</w:t>
      </w:r>
    </w:p>
    <w:p>
      <w:r>
        <w:br w:type="page"/>
      </w:r>
    </w:p>
    <w:p>
      <w:pPr>
        <w:pStyle w:val="Heading1"/>
        <w:spacing w:after="180" w:before="360"/>
      </w:pPr>
      <w:r>
        <w:rPr>
          <w:b/>
          <w:bCs/>
        </w:rPr>
        <w:t xml:space="preserve">1. Identificação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Campo</w:t>
            </w:r>
          </w:p>
        </w:tc>
        <w:tc>
          <w:tcPr>
            <w:tcW w:type="dxa" w:w="6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Conteúdo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Título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Modelagem da Eficiência Alocativa de Materiais de Apoio na APS sob Incerteza Estocástica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Autor</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Ryan Gabriel de Lima Nascimento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Vínculo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Rede municipal de APS (anonimizado)</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Natureza</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Projeto de modelagem aplicada · pesquisa operacional em saúde pública</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Versão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Data-base dos dados</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Janeiro a abril de 2026 (4 meses completos)</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Período de execução</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Maio de 2026 (entrega da Fase I)</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Patrocinador institucional</w:t>
            </w:r>
          </w:p>
        </w:tc>
        <w:tc>
          <w:tcPr>
            <w:tcW w:type="dxa" w:w="6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Gerência administrativa da organização gestora</w:t>
            </w:r>
          </w:p>
        </w:tc>
      </w:tr>
    </w:tbl>
    <w:p>
      <w:r>
        <w:t xml:space="preserve"/>
      </w:r>
    </w:p>
    <w:p>
      <w:pPr>
        <w:pStyle w:val="Heading1"/>
        <w:spacing w:after="180" w:before="360"/>
      </w:pPr>
      <w:r>
        <w:rPr>
          <w:b/>
          <w:bCs/>
        </w:rPr>
        <w:t xml:space="preserve">2. Resumo executivo</w:t>
      </w:r>
    </w:p>
    <w:p>
      <w:pPr>
        <w:spacing w:after="120" w:line="300"/>
        <w:jc w:val="both"/>
      </w:pPr>
      <w:r>
        <w:t xml:space="preserve">A rede municipal de Atenção Primária à Saúde (APS) analisada é composta por doze Unidades de Saúde da Família (USFs), uma Central de Abastecimento Farmacêutico (CAF), o Serviço de Atendimento Móvel de Urgência (SAMU) e o escritório administrativo da organização gestora. O abastecimento de materiais de apoio (escritório, copa e limpeza) ocorre por um sistema de cota mensal regular acrescido de pedidos extras emitidos quando a cota é insuficiente. A elevada participação dos extras (16,5% dos 2.603 pedidos no período de janeiro a abril de 2026) e a heterogeneidade de consumo entre unidades sugerem ineficiência alocativa no dimensionamento das cotas.</w:t>
      </w:r>
    </w:p>
    <w:p>
      <w:pPr>
        <w:spacing w:after="120" w:line="300"/>
        <w:jc w:val="both"/>
      </w:pPr>
      <w:r>
        <w:t xml:space="preserve">Este projeto propõe um arcabouço analítico em quatro camadas — consolidação e auditoria do dado, caracterização descritiva e tipologia, política de cota mensal e análise de dominância estocástica — para diagnosticar a alocação atual e propor cotas redesenhadas, com explicitação completa de premissas, parâmetros e limitações. O entregável é composto por (i) este documento de projeto, (ii) script Python replicável (pipeline_eficiencia_alocativa.py) e (iii) relatório operacional em planilha (Modelagem_Consumo_USFs_2026.xlsx). Resultados preliminares, sobre a base atual de quatro meses, indicam que 94% das políticas de cota vigentes são dominadas estocasticamente em segunda ordem por pelo menos uma das duas políticas alternativas propostas (cota conservadora ou cota com buffer de segurança), considerando uma função de custo que penaliza falta com peso superior ao excesso de estoque.</w:t>
      </w:r>
    </w:p>
    <w:p>
      <w:pPr>
        <w:pStyle w:val="Heading1"/>
        <w:spacing w:after="180" w:before="360"/>
      </w:pPr>
      <w:r>
        <w:rPr>
          <w:b/>
          <w:bCs/>
        </w:rPr>
        <w:t xml:space="preserve">3. Contexto e justificativa</w:t>
      </w:r>
    </w:p>
    <w:p>
      <w:pPr>
        <w:pStyle w:val="Heading2"/>
        <w:spacing w:after="120" w:before="240"/>
      </w:pPr>
      <w:r>
        <w:rPr>
          <w:b/>
          <w:bCs/>
        </w:rPr>
        <w:t xml:space="preserve">3.1 Contexto institucional</w:t>
      </w:r>
    </w:p>
    <w:p>
      <w:pPr>
        <w:spacing w:after="120" w:line="300"/>
        <w:jc w:val="both"/>
      </w:pPr>
      <w:r>
        <w:t xml:space="preserve">A organização social responsável pela execução do Contrato de Gestão da APS analisada opera uma rede cujas USFs atendem populações cadastradas heterogêneas em porte e perfil epidemiológico, e dependem do fluxo regular de materiais de apoio para a continuidade da atenção. A logística de suprimentos opera em modelo push: cada unidade tem uma cota mensal pré-acordada, complementada quando necessário por pedidos extras que demandam aprovação gerencial e geram custo operacional adicional (manuseio, transporte, retrabalho administrativo).</w:t>
      </w:r>
    </w:p>
    <w:p>
      <w:pPr>
        <w:pStyle w:val="Heading2"/>
        <w:spacing w:after="120" w:before="240"/>
      </w:pPr>
      <w:r>
        <w:rPr>
          <w:b/>
          <w:bCs/>
        </w:rPr>
        <w:t xml:space="preserve">3.2 Problema observado</w:t>
      </w:r>
    </w:p>
    <w:p>
      <w:pPr>
        <w:spacing w:after="120" w:line="300"/>
        <w:jc w:val="both"/>
      </w:pPr>
      <w:r>
        <w:t xml:space="preserve">A análise exploratória do Relatório SCM (sistema de controle de materiais) referente ao período jan–abr/2026 identificou três sintomas de ineficiência alocativa: </w:t>
      </w:r>
      <w:r>
        <w:rPr>
          <w:b/>
          <w:bCs/>
        </w:rPr>
        <w:t xml:space="preserve">(i) </w:t>
      </w:r>
      <w:r>
        <w:t xml:space="preserve">volume elevado de pedidos extras concentrado em itens recorrentes (papel toalha, álcool, sulfite, café), sugerindo cota regular subdimensionada para parte do portfólio; </w:t>
      </w:r>
      <w:r>
        <w:rPr>
          <w:b/>
          <w:bCs/>
        </w:rPr>
        <w:t xml:space="preserve">(ii) </w:t>
      </w:r>
      <w:r>
        <w:t xml:space="preserve">gap sistemático entre demanda manifesta e consumo efetivado (taxa média de atendimento agregada de 78,3% no período), indicando racionamento implícito; </w:t>
      </w:r>
      <w:r>
        <w:rPr>
          <w:b/>
          <w:bCs/>
        </w:rPr>
        <w:t xml:space="preserve">(iii) </w:t>
      </w:r>
      <w:r>
        <w:t xml:space="preserve">qualidade comprometida do dado operacional, com 10,3% das linhas exibindo pelo menos uma inconsistência de lançamento (entrega superior ao pedido, recebimento superior ao envio, ou pedido finalizado sem registro de recebimento).</w:t>
      </w:r>
    </w:p>
    <w:p>
      <w:pPr>
        <w:pStyle w:val="Heading2"/>
        <w:spacing w:after="120" w:before="240"/>
      </w:pPr>
      <w:r>
        <w:rPr>
          <w:b/>
          <w:bCs/>
        </w:rPr>
        <w:t xml:space="preserve">3.3 Justificativa</w:t>
      </w:r>
    </w:p>
    <w:p>
      <w:pPr>
        <w:spacing w:after="120" w:line="300"/>
        <w:jc w:val="both"/>
      </w:pPr>
      <w:r>
        <w:t xml:space="preserve">O redesenho das cotas com base em evidência quantitativa, em vez de revisão ad hoc por solicitação das unidades, oferece três ganhos esperados: (a) redução do volume de pedidos extras e do custo administrativo correlato; (b) maior previsibilidade de fluxo para a CAF, viabilizando planejamento de compras; (c) redução do risco de desabastecimento em unidades que hoje compensam cota insuficiente via extras. Adicionalmente, a explicitação metodológica do processo viabiliza auditoria, replicação institucional em outros contratos de gestão e aprimoramento incremental conforme a base de dados cresce.</w:t>
      </w:r>
    </w:p>
    <w:p>
      <w:pPr>
        <w:spacing w:after="120" w:line="300"/>
        <w:jc w:val="both"/>
      </w:pPr>
      <w:r>
        <w:t xml:space="preserve">A escolha do arcabouço de eficiência alocativa sob incerteza estocástica, em detrimento de uma modelagem determinística simples (média histórica) ou de inferência estatística clássica (regressão), reflete três considerações: (a) o objeto teórico é a qualidade da alocação de um insumo (cota) frente a uma demanda intrinsecamente aleatória, não a previsão pontual de consumo; (b) a base de dados é curta (T = 4 meses) e não comporta estimação confiável de modelos paramétricos com sazonalidade; (c) a comparação de políticas via dominância estocástica é robusta a distribuições não-paramétricas e fornece ordenação parcial entre alternativas mesmo sob incerteza.</w:t>
      </w:r>
    </w:p>
    <w:p>
      <w:pPr>
        <w:pStyle w:val="Heading1"/>
        <w:spacing w:after="180" w:before="360"/>
      </w:pPr>
      <w:r>
        <w:rPr>
          <w:b/>
          <w:bCs/>
        </w:rPr>
        <w:t xml:space="preserve">4. Marco conceitual e metodológico</w:t>
      </w:r>
    </w:p>
    <w:p>
      <w:pPr>
        <w:pStyle w:val="Heading2"/>
        <w:spacing w:after="120" w:before="240"/>
      </w:pPr>
      <w:r>
        <w:rPr>
          <w:b/>
          <w:bCs/>
        </w:rPr>
        <w:t xml:space="preserve">4.1 Eficiência alocativa sob incerteza estocástica</w:t>
      </w:r>
    </w:p>
    <w:p>
      <w:pPr>
        <w:spacing w:after="120" w:line="300"/>
        <w:jc w:val="both"/>
      </w:pPr>
      <w:r>
        <w:t xml:space="preserve">Por eficiência alocativa entende-se, na tradição de Farrell (1957) e Koopmans (1951), a propriedade de uma alocação de insumos que maximiza o produto factível dados os preços relativos, ou — em formulação dual — minimiza o custo dado um nível-alvo de produção. Quando a demanda pelo produto é estocástica, a alocação ótima depende não apenas dos valores esperados, mas da forma completa da distribuição dos resultados sob cada alternativa, o que motiva o uso de critérios de dominância estocástica para a ordenação de políticas.</w:t>
      </w:r>
    </w:p>
    <w:p>
      <w:pPr>
        <w:spacing w:after="120" w:line="300"/>
        <w:jc w:val="both"/>
      </w:pPr>
      <w:r>
        <w:t xml:space="preserve">No problema em tela, o "insumo" é a cota mensal alocada à unidade i para o produto j, denotada Q_{i,j}, e o "produto" é o atendimento da demanda real D_{i,j,t} no mês t, sem recurso a pedidos extras. A alocação eficiente é aquela cuja distribuição de custo total (falta mais excesso) sob a distribuição empírica de D não é estocasticamente dominada por nenhuma alternativa factível. Esta formulação evita comprometer-se com uma fronteira paramétrica de produção e dispensa pressupostos sobre a forma funcional do erro composto da literatura SFA (Aigner, Lovell e Schmidt, 1977; Meeusen e van den Broeck, 1977), inapropriados para um painel de apenas quatro meses.</w:t>
      </w:r>
    </w:p>
    <w:p>
      <w:pPr>
        <w:pStyle w:val="Heading2"/>
        <w:spacing w:after="120" w:before="240"/>
      </w:pPr>
      <w:r>
        <w:rPr>
          <w:b/>
          <w:bCs/>
        </w:rPr>
        <w:t xml:space="preserve">4.2 Posicionamento na literatura</w:t>
      </w:r>
    </w:p>
    <w:p>
      <w:pPr>
        <w:spacing w:after="120" w:line="300"/>
        <w:jc w:val="both"/>
      </w:pPr>
      <w:r>
        <w:t xml:space="preserve">O arcabouço metodológico deste projeto se inscreve em três tradições complementares. Da literatura de gestão de estoque (Silver, Pyke e Thomas, 2017), tomam-se as noções de política (R, S) — período de revisão fixo e nível-alvo de reposição — e de classificação XYZ por variabilidade. Da literatura de decisão sob risco (Hardaker, Richardson e Lien, 2004; Meyer, 1977), toma-se a Análise de Eficiência Estocástica em Relação a uma Função (SERF) e a noção de dominância estocástica de segunda ordem (SSD) para a ordenação de políticas. Da literatura de qualidade de dados em sistemas de informação em saúde (Lima et al., 2014; AHIMA, 2019), toma-se o protocolo de auditoria com flags por tipo de erro e a doutrina de transparência sobre subnotificação.</w:t>
      </w:r>
    </w:p>
    <w:p>
      <w:pPr>
        <w:pStyle w:val="Heading2"/>
        <w:spacing w:after="120" w:before="240"/>
      </w:pPr>
      <w:r>
        <w:rPr>
          <w:b/>
          <w:bCs/>
        </w:rPr>
        <w:t xml:space="preserve">4.3 Pressupostos teóricos</w:t>
      </w:r>
    </w:p>
    <w:p>
      <w:pPr>
        <w:pStyle w:val="ListParagraph"/>
        <w:numPr>
          <w:ilvl w:val="0"/>
          <w:numId w:val="2"/>
        </w:numPr>
        <w:spacing w:after="80" w:line="280"/>
        <w:jc w:val="both"/>
      </w:pPr>
      <w:r>
        <w:t xml:space="preserve">A demanda real por cada produto em cada unidade é uma variável aleatória cuja distribuição é razoavelmente estável no horizonte de planejamento mensal (estacionariedade fraca).</w:t>
      </w:r>
    </w:p>
    <w:p>
      <w:pPr>
        <w:pStyle w:val="ListParagraph"/>
        <w:numPr>
          <w:ilvl w:val="0"/>
          <w:numId w:val="2"/>
        </w:numPr>
        <w:spacing w:after="80" w:line="280"/>
        <w:jc w:val="both"/>
      </w:pPr>
      <w:r>
        <w:t xml:space="preserve">A série observada de consumo é uma realização ruidosa da demanda real, com viés conhecido para baixo nos pares onde há racionamento explícito (cota saturada) e ruído de lançamento documentado pela auditoria de qualidade.</w:t>
      </w:r>
    </w:p>
    <w:p>
      <w:pPr>
        <w:pStyle w:val="ListParagraph"/>
        <w:numPr>
          <w:ilvl w:val="0"/>
          <w:numId w:val="2"/>
        </w:numPr>
        <w:spacing w:after="80" w:line="280"/>
        <w:jc w:val="both"/>
      </w:pPr>
      <w:r>
        <w:t xml:space="preserve">O custo de falta excede o custo de excesso de estoque na função-objetivo institucional, refletindo a missão de continuidade do atendimento na APS.</w:t>
      </w:r>
    </w:p>
    <w:p>
      <w:pPr>
        <w:pStyle w:val="ListParagraph"/>
        <w:numPr>
          <w:ilvl w:val="0"/>
          <w:numId w:val="2"/>
        </w:numPr>
        <w:spacing w:after="80" w:line="280"/>
        <w:jc w:val="both"/>
      </w:pPr>
      <w:r>
        <w:t xml:space="preserve">A independência entre pares (unidade × produto) é uma simplificação operacional aceita; correlações cruzadas, embora existam (e.g., álcool e sabonete líquido), não são modeladas nesta fase.</w:t>
      </w:r>
    </w:p>
    <w:p>
      <w:pPr>
        <w:pStyle w:val="Heading1"/>
        <w:spacing w:after="180" w:before="360"/>
      </w:pPr>
      <w:r>
        <w:rPr>
          <w:b/>
          <w:bCs/>
        </w:rPr>
        <w:t xml:space="preserve">5. Objetivos</w:t>
      </w:r>
    </w:p>
    <w:p>
      <w:pPr>
        <w:pStyle w:val="Heading2"/>
        <w:spacing w:after="120" w:before="240"/>
      </w:pPr>
      <w:r>
        <w:rPr>
          <w:b/>
          <w:bCs/>
        </w:rPr>
        <w:t xml:space="preserve">5.1 Objetivo geral</w:t>
      </w:r>
    </w:p>
    <w:p>
      <w:pPr>
        <w:spacing w:after="120" w:line="300"/>
        <w:jc w:val="both"/>
      </w:pPr>
      <w:r>
        <w:t xml:space="preserve">Desenvolver um arcabouço analítico replicável para diagnóstico da eficiência alocativa do sistema de materiais de apoio da APS analisada e para o redesenho fundamentado em evidência das cotas mensais por par unidade × produto, sob incerteza estocástica.</w:t>
      </w:r>
    </w:p>
    <w:p>
      <w:pPr>
        <w:pStyle w:val="Heading2"/>
        <w:spacing w:after="120" w:before="240"/>
      </w:pPr>
      <w:r>
        <w:rPr>
          <w:b/>
          <w:bCs/>
        </w:rPr>
        <w:t xml:space="preserve">5.2 Objetivos específicos</w:t>
      </w:r>
    </w:p>
    <w:p>
      <w:pPr>
        <w:pStyle w:val="ListParagraph"/>
        <w:numPr>
          <w:ilvl w:val="0"/>
          <w:numId w:val="2"/>
        </w:numPr>
        <w:spacing w:after="80" w:line="280"/>
        <w:jc w:val="both"/>
      </w:pPr>
      <w:r>
        <w:t xml:space="preserve">Consolidar e auditar o dado operacional do Relatório SCM, com construção de variável-alvo de consumo robusta a erros de lançamento e subnotificação.</w:t>
      </w:r>
    </w:p>
    <w:p>
      <w:pPr>
        <w:pStyle w:val="ListParagraph"/>
        <w:numPr>
          <w:ilvl w:val="0"/>
          <w:numId w:val="2"/>
        </w:numPr>
        <w:spacing w:after="80" w:line="280"/>
        <w:jc w:val="both"/>
      </w:pPr>
      <w:r>
        <w:t xml:space="preserve">Caracterizar quantitativamente o regime de consumo de cada par unidade × produto por meio de coeficientes médios, dispersão (CV) e tipologia XYZ.</w:t>
      </w:r>
    </w:p>
    <w:p>
      <w:pPr>
        <w:pStyle w:val="ListParagraph"/>
        <w:numPr>
          <w:ilvl w:val="0"/>
          <w:numId w:val="2"/>
        </w:numPr>
        <w:spacing w:after="80" w:line="280"/>
        <w:jc w:val="both"/>
      </w:pPr>
      <w:r>
        <w:t xml:space="preserve">Propor duas políticas alternativas de cota mensal — conservadora e com buffer de segurança — explicitando a função paramétrica de cada uma.</w:t>
      </w:r>
    </w:p>
    <w:p>
      <w:pPr>
        <w:pStyle w:val="ListParagraph"/>
        <w:numPr>
          <w:ilvl w:val="0"/>
          <w:numId w:val="2"/>
        </w:numPr>
        <w:spacing w:after="80" w:line="280"/>
        <w:jc w:val="both"/>
      </w:pPr>
      <w:r>
        <w:t xml:space="preserve">Comparar a política atual e as alternativas propostas por dominância estocástica de segunda ordem (SSD), via simulação bootstrap.</w:t>
      </w:r>
    </w:p>
    <w:p>
      <w:pPr>
        <w:pStyle w:val="ListParagraph"/>
        <w:numPr>
          <w:ilvl w:val="0"/>
          <w:numId w:val="2"/>
        </w:numPr>
        <w:spacing w:after="80" w:line="280"/>
        <w:jc w:val="both"/>
      </w:pPr>
      <w:r>
        <w:t xml:space="preserve">Documentar todo o pipeline em forma replicável (script Python comentado, log de auditoria, configuração versionada) e elaborar especificação técnica suficiente para reimplementação por terceiros.</w:t>
      </w:r>
    </w:p>
    <w:p>
      <w:pPr>
        <w:pStyle w:val="Heading1"/>
        <w:spacing w:after="180" w:before="360"/>
      </w:pPr>
      <w:r>
        <w:rPr>
          <w:b/>
          <w:bCs/>
        </w:rPr>
        <w:t xml:space="preserve">6. Escopo</w:t>
      </w:r>
    </w:p>
    <w:p>
      <w:pPr>
        <w:pStyle w:val="Heading2"/>
        <w:spacing w:after="120" w:before="240"/>
      </w:pPr>
      <w:r>
        <w:rPr>
          <w:b/>
          <w:bCs/>
        </w:rPr>
        <w:t xml:space="preserve">6.1 Incluído</w:t>
      </w:r>
    </w:p>
    <w:p>
      <w:pPr>
        <w:pStyle w:val="ListParagraph"/>
        <w:numPr>
          <w:ilvl w:val="0"/>
          <w:numId w:val="3"/>
        </w:numPr>
        <w:spacing w:after="80" w:line="280"/>
        <w:jc w:val="both"/>
      </w:pPr>
      <w:r>
        <w:t xml:space="preserve">Análise dos 125 produtos das categorias Escritório, Copa e Limpeza presentes no Relatório SCM.</w:t>
      </w:r>
    </w:p>
    <w:p>
      <w:pPr>
        <w:pStyle w:val="ListParagraph"/>
        <w:numPr>
          <w:ilvl w:val="0"/>
          <w:numId w:val="3"/>
        </w:numPr>
        <w:spacing w:after="80" w:line="280"/>
        <w:jc w:val="both"/>
      </w:pPr>
      <w:r>
        <w:t xml:space="preserve">Quinze unidades destinatárias: 12 USFs, Central de Abastecimento Farmacêutico, SAMU e escritório administrativo.</w:t>
      </w:r>
    </w:p>
    <w:p>
      <w:pPr>
        <w:pStyle w:val="ListParagraph"/>
        <w:numPr>
          <w:ilvl w:val="0"/>
          <w:numId w:val="3"/>
        </w:numPr>
        <w:spacing w:after="80" w:line="280"/>
        <w:jc w:val="both"/>
      </w:pPr>
      <w:r>
        <w:t xml:space="preserve">Período base de janeiro a abril de 2026 (quatro meses completos); maio/2026 é descartado das médias por ser parcial mas integra a auditoria de qualidade.</w:t>
      </w:r>
    </w:p>
    <w:p>
      <w:pPr>
        <w:pStyle w:val="ListParagraph"/>
        <w:numPr>
          <w:ilvl w:val="0"/>
          <w:numId w:val="3"/>
        </w:numPr>
        <w:spacing w:after="80" w:line="280"/>
        <w:jc w:val="both"/>
      </w:pPr>
      <w:r>
        <w:t xml:space="preserve">Construção da variável qtd_consumo (variável-alvo consolidada), cálculo de métricas descritivas por par, proposta de cota e teste SSD entre políticas.</w:t>
      </w:r>
    </w:p>
    <w:p>
      <w:pPr>
        <w:pStyle w:val="Heading2"/>
        <w:spacing w:after="120" w:before="240"/>
      </w:pPr>
      <w:r>
        <w:rPr>
          <w:b/>
          <w:bCs/>
        </w:rPr>
        <w:t xml:space="preserve">6.2 Excluído (não-escopo)</w:t>
      </w:r>
    </w:p>
    <w:p>
      <w:pPr>
        <w:pStyle w:val="ListParagraph"/>
        <w:numPr>
          <w:ilvl w:val="0"/>
          <w:numId w:val="3"/>
        </w:numPr>
        <w:spacing w:after="80" w:line="280"/>
        <w:jc w:val="both"/>
      </w:pPr>
      <w:r>
        <w:t xml:space="preserve">Medicamentos e insumos clínicos sob gestão direta da CAF (não constam do Relatório SCM analisado).</w:t>
      </w:r>
    </w:p>
    <w:p>
      <w:pPr>
        <w:pStyle w:val="ListParagraph"/>
        <w:numPr>
          <w:ilvl w:val="0"/>
          <w:numId w:val="3"/>
        </w:numPr>
        <w:spacing w:after="80" w:line="280"/>
        <w:jc w:val="both"/>
      </w:pPr>
      <w:r>
        <w:t xml:space="preserve">Estimação de modelos paramétricos com componente sazonal (inviável com T = 4).</w:t>
      </w:r>
    </w:p>
    <w:p>
      <w:pPr>
        <w:pStyle w:val="ListParagraph"/>
        <w:numPr>
          <w:ilvl w:val="0"/>
          <w:numId w:val="3"/>
        </w:numPr>
        <w:spacing w:after="80" w:line="280"/>
        <w:jc w:val="both"/>
      </w:pPr>
      <w:r>
        <w:t xml:space="preserve">Otimização logística do fluxo CAF → USF (roteirização, lotes econômicos, política de transporte).</w:t>
      </w:r>
    </w:p>
    <w:p>
      <w:pPr>
        <w:pStyle w:val="ListParagraph"/>
        <w:numPr>
          <w:ilvl w:val="0"/>
          <w:numId w:val="3"/>
        </w:numPr>
        <w:spacing w:after="80" w:line="280"/>
        <w:jc w:val="both"/>
      </w:pPr>
      <w:r>
        <w:t xml:space="preserve">Integração técnica com o sistema SCM ou desenvolvimento de interface gráfica (a entrega é metodológica e de pipeline, não de produto de software).</w:t>
      </w:r>
    </w:p>
    <w:p>
      <w:pPr>
        <w:pStyle w:val="Heading1"/>
        <w:spacing w:after="180" w:before="360"/>
      </w:pPr>
      <w:r>
        <w:rPr>
          <w:b/>
          <w:bCs/>
        </w:rPr>
        <w:t xml:space="preserve">7. Premissas e restrições</w:t>
      </w:r>
    </w:p>
    <w:p>
      <w:pPr>
        <w:pStyle w:val="Heading2"/>
        <w:spacing w:after="120" w:before="240"/>
      </w:pPr>
      <w:r>
        <w:rPr>
          <w:b/>
          <w:bCs/>
        </w:rPr>
        <w:t xml:space="preserve">7.1 Premissas</w:t>
      </w:r>
    </w:p>
    <w:p>
      <w:pPr>
        <w:pStyle w:val="ListParagraph"/>
        <w:numPr>
          <w:ilvl w:val="0"/>
          <w:numId w:val="3"/>
        </w:numPr>
        <w:spacing w:after="80" w:line="280"/>
        <w:jc w:val="both"/>
      </w:pPr>
      <w:r>
        <w:t xml:space="preserve">O Relatório SCM exportado em maio de 2026 é representativo do fluxo do período (premissa testável quando relatórios futuros forem incorporados).</w:t>
      </w:r>
    </w:p>
    <w:p>
      <w:pPr>
        <w:pStyle w:val="ListParagraph"/>
        <w:numPr>
          <w:ilvl w:val="0"/>
          <w:numId w:val="3"/>
        </w:numPr>
        <w:spacing w:after="80" w:line="280"/>
        <w:jc w:val="both"/>
      </w:pPr>
      <w:r>
        <w:t xml:space="preserve">A nomenclatura de produtos é estável no período; renomeações no SCM são raras e foram inspecionadas manualmente.</w:t>
      </w:r>
    </w:p>
    <w:p>
      <w:pPr>
        <w:pStyle w:val="ListParagraph"/>
        <w:numPr>
          <w:ilvl w:val="0"/>
          <w:numId w:val="3"/>
        </w:numPr>
        <w:spacing w:after="80" w:line="280"/>
        <w:jc w:val="both"/>
      </w:pPr>
      <w:r>
        <w:t xml:space="preserve">Os 15 destinatários compartilham um conjunto comum de produtos com necessidades qualitativamente comparáveis, embora quantitativamente heterogêneas.</w:t>
      </w:r>
    </w:p>
    <w:p>
      <w:pPr>
        <w:pStyle w:val="Heading2"/>
        <w:spacing w:after="120" w:before="240"/>
      </w:pPr>
      <w:r>
        <w:rPr>
          <w:b/>
          <w:bCs/>
        </w:rPr>
        <w:t xml:space="preserve">7.2 Restrições</w:t>
      </w:r>
    </w:p>
    <w:p>
      <w:pPr>
        <w:pStyle w:val="ListParagraph"/>
        <w:numPr>
          <w:ilvl w:val="0"/>
          <w:numId w:val="3"/>
        </w:numPr>
        <w:spacing w:after="80" w:line="280"/>
        <w:jc w:val="both"/>
      </w:pPr>
      <w:r>
        <w:t xml:space="preserve">Horizonte temporal curto (T = 4 meses) limita a estimação de qualquer componente sazonal e amplia a variância dos coeficientes de dispersão.</w:t>
      </w:r>
    </w:p>
    <w:p>
      <w:pPr>
        <w:pStyle w:val="ListParagraph"/>
        <w:numPr>
          <w:ilvl w:val="0"/>
          <w:numId w:val="3"/>
        </w:numPr>
        <w:spacing w:after="80" w:line="280"/>
        <w:jc w:val="both"/>
      </w:pPr>
      <w:r>
        <w:t xml:space="preserve">Inexistência de campo de estoque em unidade no Relatório SCM impede o fechamento do balanço material e exige tratar o consumo como proxy do escoamento.</w:t>
      </w:r>
    </w:p>
    <w:p>
      <w:pPr>
        <w:pStyle w:val="ListParagraph"/>
        <w:numPr>
          <w:ilvl w:val="0"/>
          <w:numId w:val="3"/>
        </w:numPr>
        <w:spacing w:after="80" w:line="280"/>
        <w:jc w:val="both"/>
      </w:pPr>
      <w:r>
        <w:t xml:space="preserve">Custos unitários de falta e excesso são parâmetros institucionais — não há valor monetário direto observado nos dados. A análise de dominância usa razão de custos arbitrada na ausência de definição institucional formal (Seção 10.4.3).</w:t>
      </w:r>
    </w:p>
    <w:p>
      <w:pPr>
        <w:pStyle w:val="ListParagraph"/>
        <w:numPr>
          <w:ilvl w:val="0"/>
          <w:numId w:val="3"/>
        </w:numPr>
        <w:spacing w:after="80" w:line="280"/>
        <w:jc w:val="both"/>
      </w:pPr>
      <w:r>
        <w:t xml:space="preserve">Reprodutibilidade total depende de seed fixada (Seção 12.3) e de versão imutável dos parâmetros declarados em CONFIG (script).</w:t>
      </w:r>
    </w:p>
    <w:p>
      <w:pPr>
        <w:pStyle w:val="Heading1"/>
        <w:spacing w:after="180" w:before="360"/>
      </w:pPr>
      <w:r>
        <w:rPr>
          <w:b/>
          <w:bCs/>
        </w:rPr>
        <w:t xml:space="preserve">8.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Stakeholder</w:t>
            </w:r>
          </w:p>
        </w:tc>
        <w:tc>
          <w:tcPr>
            <w:tcW w:type="dxa" w:w="3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Papel no projeto</w:t>
            </w:r>
          </w:p>
        </w:tc>
        <w:tc>
          <w:tcPr>
            <w:tcW w:type="dxa" w:w="39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Interesse principal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Gerência administrativa</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Patrocinador / decisor sobre nova cota</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Redução de pedidos extras e custo operacional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Coordenadores das USFs</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Usuários finais da nova cota</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Suficiência do abastecimento sem necessidade de extras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Equipe da CAF</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Operadora do fluxo de despacho</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Previsibilidade de demanda mensal</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Secretaria Municipal de Saúde</w:t>
            </w:r>
          </w:p>
        </w:tc>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Contratante / supervisor</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Eficiência da gestão pública conveniada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Equipe técnica de TI / SCM</w:t>
            </w:r>
          </w:p>
        </w:tc>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Custódio do dado-fonte</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Qualidade dos lançamentos no sistema</w:t>
            </w:r>
          </w:p>
        </w:tc>
      </w:tr>
    </w:tbl>
    <w:p>
      <w:r>
        <w:t xml:space="preserve"/>
      </w:r>
    </w:p>
    <w:p>
      <w:pPr>
        <w:pStyle w:val="Heading1"/>
        <w:spacing w:after="180" w:before="360"/>
      </w:pPr>
      <w:r>
        <w:rPr>
          <w:b/>
          <w:bCs/>
        </w:rPr>
        <w:t xml:space="preserve">9. Estrutura Analítica do Projeto (EAP)</w:t>
      </w:r>
    </w:p>
    <w:p>
      <w:pPr>
        <w:spacing w:after="120" w:line="300"/>
        <w:jc w:val="both"/>
      </w:pPr>
      <w:r>
        <w:t xml:space="preserve">O projeto está decomposto em quatro pacotes de trabalho correspondentes às quatro camadas analíticas. Cada pacote tem entrega independente e auditável, embora encadeada na sequência de execução do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700"/>
        <w:gridCol w:w="3760"/>
      </w:tblGrid>
      <w:tr>
        <w:trPr>
          <w:tblHeader/>
        </w:trPr>
        <w:tc>
          <w:tcPr>
            <w:tcW w:type="dxa" w:w="9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Código</w:t>
            </w:r>
          </w:p>
        </w:tc>
        <w:tc>
          <w:tcPr>
            <w:tcW w:type="dxa" w:w="4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Pacote de trabalho</w:t>
            </w:r>
          </w:p>
        </w:tc>
        <w:tc>
          <w:tcPr>
            <w:tcW w:type="dxa" w:w="37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Entrega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1.0</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Consolidação e auditoria do data layer</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01_dataset_consolidado.csv + flags de qualidade</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1.1</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  Carregamento e normalização</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DataFrame com tipos e colunas padronizados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1.2</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Auditoria de qualidade (3 tipos de erro)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Colunas flag_*</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1.3</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  Construção da variável-alvo qtd_consumo</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Variável consolidada via árvore hierárquica</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2.0</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Caracterização descritiva e tipologia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02_metricas_por_par.csv</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2.1</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  Agregação mensal e painel balanceado</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Painel (unidade × produto × mês)</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2.2</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Métricas por par e classificação XYZ</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870 pares classificados</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3.0</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Política de cota mensal</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03_politicas_cota.csv</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3.1</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Projeção via média móvel ponderada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cota_conservadora</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3.2</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  Aplicação de buffer k(CV, μ)·σ</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cota_buffer</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3.3</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Regra de decisão (ação sugerida)</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manter / aumentar / reduzir / reforçar</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4.0</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Dominância estocástica entre políticas</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04_dominancia.csv</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4.1</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Função de custo (falta + excesso)</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C(Q) parametrizada</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4.2</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  Bootstrap não-paramétrico (n=5000)</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Distribuições simuladas de custo</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4.3</w:t>
            </w:r>
          </w:p>
        </w:tc>
        <w:tc>
          <w:tcPr>
            <w:tcW w:type="dxa" w:w="4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  Teste SSD via integrais de CDFs</w:t>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Política preferida por par</w:t>
            </w:r>
          </w:p>
        </w:tc>
      </w:tr>
      <w:tr>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5.0</w:t>
            </w:r>
          </w:p>
        </w:tc>
        <w:tc>
          <w:tcPr>
            <w:tcW w:type="dxa" w:w="4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Documentação e replicabilidade</w:t>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Documento + pipeline + relatório</w:t>
            </w:r>
          </w:p>
        </w:tc>
      </w:tr>
    </w:tbl>
    <w:p>
      <w:r>
        <w:t xml:space="preserve"/>
      </w:r>
    </w:p>
    <w:p>
      <w:pPr>
        <w:pStyle w:val="Heading1"/>
        <w:spacing w:after="180" w:before="360"/>
      </w:pPr>
      <w:r>
        <w:rPr>
          <w:b/>
          <w:bCs/>
        </w:rPr>
        <w:t xml:space="preserve">10. Especificação técnica das camadas</w:t>
      </w:r>
    </w:p>
    <w:p>
      <w:pPr>
        <w:pStyle w:val="Heading2"/>
        <w:spacing w:after="120" w:before="240"/>
      </w:pPr>
      <w:r>
        <w:rPr>
          <w:b/>
          <w:bCs/>
        </w:rPr>
        <w:t xml:space="preserve">10.1 Camada 1 — Consolidação e auditoria</w:t>
      </w:r>
    </w:p>
    <w:p>
      <w:pPr>
        <w:pStyle w:val="Heading3"/>
        <w:spacing w:after="100" w:before="180"/>
      </w:pPr>
      <w:r>
        <w:rPr>
          <w:b/>
          <w:bCs/>
        </w:rPr>
        <w:t xml:space="preserve">10.1.1 Carregamento e normalização</w:t>
      </w:r>
    </w:p>
    <w:p>
      <w:pPr>
        <w:spacing w:after="120" w:line="300"/>
        <w:jc w:val="both"/>
      </w:pPr>
      <w:r>
        <w:t xml:space="preserve">O Relatório SCM é exportado pelo sistema corporativo como arquivo HTML com extensão .xls, o que requer leitura via parser HTML (pandas.read_html), e não via engine binário do Excel. A normalização padroniza nomes de coluna para snake_case, converte data_solic para timestamp, e força tipos numéricos em qtd_solic, qtd_env e qtd_rec (valores não-numéricos são tratados como zero, justificável porque o sistema não admite negativos e ausência indica não-lançamento). A coluna categoria recebe tratamento defensivo contra variações ortográficas (ESCRITÓRIO vs ESCRITORIO).</w:t>
      </w:r>
    </w:p>
    <w:p>
      <w:pPr>
        <w:pStyle w:val="Heading3"/>
        <w:spacing w:after="100" w:before="180"/>
      </w:pPr>
      <w:r>
        <w:rPr>
          <w:b/>
          <w:bCs/>
        </w:rPr>
        <w:t xml:space="preserve">10.1.2 Auditoria de qualidade</w:t>
      </w:r>
    </w:p>
    <w:p>
      <w:pPr>
        <w:spacing w:after="120" w:line="300"/>
        <w:jc w:val="both"/>
      </w:pPr>
      <w:r>
        <w:t xml:space="preserve">A auditoria detecta três famílias de erro pré-definidas:</w:t>
      </w:r>
    </w:p>
    <w:p>
      <w:pPr>
        <w:pStyle w:val="ListParagraph"/>
        <w:numPr>
          <w:ilvl w:val="0"/>
          <w:numId w:val="3"/>
        </w:numPr>
        <w:spacing w:after="80" w:line="280"/>
        <w:jc w:val="both"/>
      </w:pPr>
      <w:r>
        <w:rPr>
          <w:b/>
          <w:bCs/>
        </w:rPr>
        <w:t xml:space="preserve">Tipo A — entrega superior ao pedido: </w:t>
      </w:r>
      <w:r>
        <w:t xml:space="preserve">qtd_env &gt; qtd_solic. Frequência observada: 21 linhas (0,8%). Hipótese: duplicação de baixa no CAF ou erro de digitação.</w:t>
      </w:r>
    </w:p>
    <w:p>
      <w:pPr>
        <w:pStyle w:val="ListParagraph"/>
        <w:numPr>
          <w:ilvl w:val="0"/>
          <w:numId w:val="3"/>
        </w:numPr>
        <w:spacing w:after="80" w:line="280"/>
        <w:jc w:val="both"/>
      </w:pPr>
      <w:r>
        <w:rPr>
          <w:b/>
          <w:bCs/>
        </w:rPr>
        <w:t xml:space="preserve">Tipo B — recebimento superior ao envio: </w:t>
      </w:r>
      <w:r>
        <w:t xml:space="preserve">qtd_rec &gt; qtd_env. Frequência: 16 linhas (0,6%). Hipótese: registro retroativo ou divergência logística entre o que o CAF declara ter enviado e o que a USF declara ter recebido.</w:t>
      </w:r>
    </w:p>
    <w:p>
      <w:pPr>
        <w:pStyle w:val="ListParagraph"/>
        <w:numPr>
          <w:ilvl w:val="0"/>
          <w:numId w:val="3"/>
        </w:numPr>
        <w:spacing w:after="80" w:line="280"/>
        <w:jc w:val="both"/>
      </w:pPr>
      <w:r>
        <w:rPr>
          <w:b/>
          <w:bCs/>
        </w:rPr>
        <w:t xml:space="preserve">Tipo C — pedido finalizado sem registro de recebimento: </w:t>
      </w:r>
      <w:r>
        <w:t xml:space="preserve">status ∈ {Finalizado, Recebimento Confirmado} e qtd_rec = 0. Frequência: 236 linhas (9,1%). Hipótese: subnotificação operacional — o material chegou mas a baixa de recebimento não foi lançada no sistema.</w:t>
      </w:r>
    </w:p>
    <w:p>
      <w:pPr>
        <w:spacing w:after="120" w:line="300"/>
        <w:jc w:val="both"/>
      </w:pPr>
      <w:r>
        <w:t xml:space="preserve">A presença de erros de Tipo C é o motivo central pelo qual a variável-alvo de consumo não pode ser tomada simplesmente como qtd_rec. A consolidação hierárquica descrita em 10.1.3 contorna essa subnotificação.</w:t>
      </w:r>
    </w:p>
    <w:p>
      <w:pPr>
        <w:pStyle w:val="Heading3"/>
        <w:spacing w:after="100" w:before="180"/>
      </w:pPr>
      <w:r>
        <w:rPr>
          <w:b/>
          <w:bCs/>
        </w:rPr>
        <w:t xml:space="preserve">10.1.3 Construção da variável-alvo qtd_consumo</w:t>
      </w:r>
    </w:p>
    <w:p>
      <w:pPr>
        <w:spacing w:after="120" w:line="300"/>
        <w:jc w:val="both"/>
      </w:pPr>
      <w:r>
        <w:t xml:space="preserve">A variável de consumo consolidado é construída por árvore de decisão hierárquica:</w:t>
      </w:r>
    </w:p>
    <w:p>
      <w:pPr>
        <w:pStyle w:val="ListParagraph"/>
        <w:numPr>
          <w:ilvl w:val="0"/>
          <w:numId w:val="2"/>
        </w:numPr>
        <w:spacing w:after="80" w:line="280"/>
        <w:jc w:val="both"/>
      </w:pPr>
      <w:r>
        <w:t xml:space="preserve">Se status = "Rejeitado" → qtd_consumo = 0 (o pedido foi formalmente anulado).</w:t>
      </w:r>
    </w:p>
    <w:p>
      <w:pPr>
        <w:pStyle w:val="ListParagraph"/>
        <w:numPr>
          <w:ilvl w:val="0"/>
          <w:numId w:val="2"/>
        </w:numPr>
        <w:spacing w:after="80" w:line="280"/>
        <w:jc w:val="both"/>
      </w:pPr>
      <w:r>
        <w:t xml:space="preserve">Se qtd_rec &gt; 0 → qtd_consumo = min(qtd_rec, qtd_env), com cap em qtd_env quando qtd_rec excede qtd_env (corrige erro de Tipo B preservando a informação mais conservadora).</w:t>
      </w:r>
    </w:p>
    <w:p>
      <w:pPr>
        <w:pStyle w:val="ListParagraph"/>
        <w:numPr>
          <w:ilvl w:val="0"/>
          <w:numId w:val="2"/>
        </w:numPr>
        <w:spacing w:after="80" w:line="280"/>
        <w:jc w:val="both"/>
      </w:pPr>
      <w:r>
        <w:t xml:space="preserve">Se qtd_rec = 0 e qtd_env &gt; 0 → qtd_consumo = min(qtd_env, qtd_solic). O material foi despachado e considera-se consumido (corrige Tipo C).</w:t>
      </w:r>
    </w:p>
    <w:p>
      <w:pPr>
        <w:pStyle w:val="ListParagraph"/>
        <w:numPr>
          <w:ilvl w:val="0"/>
          <w:numId w:val="2"/>
        </w:numPr>
        <w:spacing w:after="80" w:line="280"/>
        <w:jc w:val="both"/>
      </w:pPr>
      <w:r>
        <w:t xml:space="preserve">Se qtd_rec = 0, qtd_env = 0 e status ∈ {Pendente, Aprovado, Aguardando Gerente} → qtd_consumo = qtd_solic. A demanda manifesta entra como proxy do consumo presumido para pedidos ainda em fila.</w:t>
      </w:r>
    </w:p>
    <w:p>
      <w:pPr>
        <w:pStyle w:val="ListParagraph"/>
        <w:numPr>
          <w:ilvl w:val="0"/>
          <w:numId w:val="2"/>
        </w:numPr>
        <w:spacing w:after="80" w:line="280"/>
        <w:jc w:val="both"/>
      </w:pPr>
      <w:r>
        <w:t xml:space="preserve">Caso contrário → qtd_consumo = 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4"/>
              <w:right w:val="single" w:color="1F3864" w:sz="4"/>
            </w:tcBorders>
            <w:shd w:fill="D9E1F2" w:val="clear"/>
            <w:tcMar>
              <w:top w:type="dxa" w:w="180"/>
              <w:left w:type="dxa" w:w="240"/>
              <w:bottom w:type="dxa" w:w="180"/>
              <w:right w:type="dxa" w:w="240"/>
            </w:tcMar>
          </w:tcPr>
          <w:p>
            <w:pPr>
              <w:spacing w:after="100"/>
            </w:pPr>
            <w:r>
              <w:rPr>
                <w:b/>
                <w:bCs/>
                <w:color w:val="1F3864"/>
                <w:sz w:val="22"/>
                <w:szCs w:val="22"/>
              </w:rPr>
              <w:t xml:space="preserve">Trade-off declarado</w:t>
            </w:r>
          </w:p>
          <w:p>
            <w:pPr>
              <w:spacing w:line="280"/>
              <w:jc w:val="both"/>
            </w:pPr>
            <w:r>
              <w:rPr>
                <w:sz w:val="20"/>
                <w:szCs w:val="20"/>
              </w:rPr>
              <w:t xml:space="preserve">A regra (4) é a mais discutível: assume que pedidos pendentes ou aguardando aprovação serão eventualmente atendidos e refletem demanda real. Em cenários de alta taxa de rejeição posterior, isso superestimaria o consumo. A premissa é razoável para o período analisado (taxa global de rejeição de 14,0%) mas deve ser monitorada quando a base for atualizada.</w:t>
            </w:r>
          </w:p>
        </w:tc>
      </w:tr>
    </w:tbl>
    <w:p>
      <w:pPr>
        <w:pStyle w:val="Heading2"/>
        <w:spacing w:after="120" w:before="240"/>
      </w:pPr>
      <w:r>
        <w:rPr>
          <w:b/>
          <w:bCs/>
        </w:rPr>
        <w:t xml:space="preserve">10.2 Camada 2 — Caracterização descritiva e tipologia</w:t>
      </w:r>
    </w:p>
    <w:p>
      <w:pPr>
        <w:pStyle w:val="Heading3"/>
        <w:spacing w:after="100" w:before="180"/>
      </w:pPr>
      <w:r>
        <w:rPr>
          <w:b/>
          <w:bCs/>
        </w:rPr>
        <w:t xml:space="preserve">10.2.1 Agregação mensal e painel balanceado</w:t>
      </w:r>
    </w:p>
    <w:p>
      <w:pPr>
        <w:spacing w:after="120" w:line="300"/>
        <w:jc w:val="both"/>
      </w:pPr>
      <w:r>
        <w:t xml:space="preserve">Os dados são agregados por (unidade, produto, mês) com decomposição entre pedidos regulares (pedido_extra = Não) e extras (pedido_extra = Sim). O painel resultante é forçado a ser balanceado: pares (unidade × produto) que não têm pedido em algum mês recebem linha com zeros explícitos, evitando que ausências sejam confundidas com baixa demanda no cálculo das médias.</w:t>
      </w:r>
    </w:p>
    <w:p>
      <w:pPr>
        <w:pStyle w:val="Heading3"/>
        <w:spacing w:after="100" w:before="180"/>
      </w:pPr>
      <w:r>
        <w:rPr>
          <w:b/>
          <w:bCs/>
        </w:rPr>
        <w:t xml:space="preserve">10.2.2 Métricas calculadas</w:t>
      </w:r>
    </w:p>
    <w:p>
      <w:pPr>
        <w:spacing w:after="120" w:line="300"/>
        <w:jc w:val="both"/>
      </w:pPr>
      <w:r>
        <w:t xml:space="preserve">Para cada par (unidade, produto), o pipeline calcula: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Métrica</w:t>
            </w:r>
          </w:p>
        </w:tc>
        <w:tc>
          <w:tcPr>
            <w:tcW w:type="dxa" w:w="38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Fórmula</w:t>
            </w:r>
          </w:p>
        </w:tc>
        <w:tc>
          <w:tcPr>
            <w:tcW w:type="dxa" w:w="3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Interpretação</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consumo_medio_mensal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μ = (1/T)·Σ_t consumo_total_t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Coeficiente de pedido médio (variável-alvo)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demanda_media_mensal</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(1/T)·Σ_t qtd_solic_t (sem rejeitados)</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Necessidade manifesta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env_medio_mensal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(1/T)·Σ_t qtd_env_t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Capacidade de despacho do CAF</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rec_medio_mensal</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(1/T)·Σ_t qtd_rec_t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Confirmação operacional da USF</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desvio_padrao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σ = √[(1/T)·Σ_t (y_t − μ)²]</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Variabilidade do consumo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cv</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σ / μ</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Variabilidade normalizada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gap_medio_mensal</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(1/T)·Σ_t (demanda_t − consumo_t)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Déficit de atendimento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taxa_atendimento</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Σ_t consumo_t / Σ_t demanda_t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Fração da demanda atendida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pct_extra_no_consumo</w:t>
            </w:r>
          </w:p>
        </w:tc>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Σ_t consumo_extra_t / Σ_t consumo_total_t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Pressão dos extras sobre cota regular</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razao_extra_regular</w:t>
            </w:r>
          </w:p>
        </w:tc>
        <w:tc>
          <w:tcPr>
            <w:tcW w:type="dxa" w:w="3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Σ_t consumo_extra_t / Σ_t consumo_regular_t</w:t>
            </w:r>
          </w:p>
        </w:tc>
        <w:tc>
          <w:tcPr>
            <w:tcW w:type="dxa" w:w="3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Magnitude relativa dos extras</w:t>
            </w:r>
          </w:p>
        </w:tc>
      </w:tr>
    </w:tbl>
    <w:p>
      <w:r>
        <w:t xml:space="preserve"/>
      </w:r>
    </w:p>
    <w:p>
      <w:pPr>
        <w:pStyle w:val="Heading3"/>
        <w:spacing w:after="100" w:before="180"/>
      </w:pPr>
      <w:r>
        <w:rPr>
          <w:b/>
          <w:bCs/>
        </w:rPr>
        <w:t xml:space="preserve">10.2.3 Tipologia XYZ</w:t>
      </w:r>
    </w:p>
    <w:p>
      <w:pPr>
        <w:spacing w:after="120" w:line="300"/>
        <w:jc w:val="both"/>
      </w:pPr>
      <w:r>
        <w:t xml:space="preserve">A classificação XYZ ordena os pares segundo a previsibilidade do consumo, com cortes definidos sobre o coeficiente de variação: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Classe</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Critério</w:t>
            </w:r>
          </w:p>
        </w:tc>
        <w:tc>
          <w:tcPr>
            <w:tcW w:type="dxa" w:w="4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Interpretação operacional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X — regular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CV &lt; 0,30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Consumo previsível; cota fixa adequada</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Y — moderado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0,30 ≤ CV &lt; 0,70</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Consumo com variação moderada; cota + pequeno buffer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Z — errático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CV ≥ 0,70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Consumo de difícil previsão; avaliar política sob demanda (pull)</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Baixa rotatividade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μ &lt; 1,0 unid./mês</w:t>
            </w:r>
          </w:p>
        </w:tc>
        <w:tc>
          <w:tcPr>
            <w:tcW w:type="dxa" w:w="4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CV alto não indica erraticidade — é artefato de baixo volume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2"/>
              <w:left w:val="single" w:color="1F3864" w:sz="4"/>
              <w:bottom w:val="single" w:color="1F3864" w:sz="4"/>
              <w:right w:val="single" w:color="1F3864" w:sz="4"/>
            </w:tcBorders>
            <w:shd w:fill="D9E1F2" w:val="clear"/>
            <w:tcMar>
              <w:top w:type="dxa" w:w="180"/>
              <w:left w:type="dxa" w:w="240"/>
              <w:bottom w:type="dxa" w:w="180"/>
              <w:right w:type="dxa" w:w="240"/>
            </w:tcMar>
          </w:tcPr>
          <w:p>
            <w:pPr>
              <w:spacing w:after="100"/>
            </w:pPr>
            <w:r>
              <w:rPr>
                <w:b/>
                <w:bCs/>
                <w:color w:val="1F3864"/>
                <w:sz w:val="22"/>
                <w:szCs w:val="22"/>
              </w:rPr>
              <w:t xml:space="preserve">Limitação do CV com T pequeno</w:t>
            </w:r>
          </w:p>
          <w:p>
            <w:pPr>
              <w:spacing w:line="280"/>
              <w:jc w:val="both"/>
            </w:pPr>
            <w:r>
              <w:rPr>
                <w:sz w:val="20"/>
                <w:szCs w:val="20"/>
              </w:rPr>
              <w:t xml:space="preserve">Com apenas 4 observações por par, o CV é estatística instável. Um par que tenha consumo concentrado em um único mês força CV próximo do teto matemático √(T−1) = √3 ≈ 1,73, mesmo sendo item de baixa rotatividade legítima. Por isso a classe "baixa rotatividade" é separada antes da aplicação dos cortes XYZ.</w:t>
            </w:r>
          </w:p>
        </w:tc>
      </w:tr>
    </w:tbl>
    <w:p>
      <w:pPr>
        <w:pStyle w:val="Heading2"/>
        <w:spacing w:after="120" w:before="240"/>
      </w:pPr>
      <w:r>
        <w:rPr>
          <w:b/>
          <w:bCs/>
        </w:rPr>
        <w:t xml:space="preserve">10.3 Camada 3 — Política de cota mensal</w:t>
      </w:r>
    </w:p>
    <w:p>
      <w:pPr>
        <w:pStyle w:val="Heading3"/>
        <w:spacing w:after="100" w:before="180"/>
      </w:pPr>
      <w:r>
        <w:rPr>
          <w:b/>
          <w:bCs/>
        </w:rPr>
        <w:t xml:space="preserve">10.3.1 Projeção por média móvel ponderada</w:t>
      </w:r>
    </w:p>
    <w:p>
      <w:pPr>
        <w:spacing w:after="120" w:line="300"/>
        <w:jc w:val="both"/>
      </w:pPr>
      <w:r>
        <w:t xml:space="preserve">A projeção do consumo para o próximo mês é dada por uma média móvel ponderada dos quatro meses observados, com pesos crescentes (w₁ = 0,10; w₂ = 0,20; w₃ = 0,30; w₄ = 0,40) que privilegiam observações recentes:</w:t>
      </w:r>
    </w:p>
    <w:p>
      <w:pPr>
        <w:spacing w:after="120" w:line="300"/>
        <w:jc w:val="center"/>
      </w:pPr>
      <w:r>
        <w:rPr>
          <w:i/>
          <w:iCs/>
        </w:rPr>
        <w:t xml:space="preserve">            ŷ_{t+1} = Σᵢ wᵢ · y_{t−i+1},    Σ wᵢ = 1</w:t>
      </w:r>
    </w:p>
    <w:p>
      <w:pPr>
        <w:spacing w:after="120" w:line="300"/>
        <w:jc w:val="both"/>
      </w:pPr>
      <w:r>
        <w:t xml:space="preserve">A escolha dos pesos é deliberada e não estimada — em séries curtas a estimação de pesos por verossimilhança ou mínimos quadrados é instável. A defesa da escolha é assumida explicitamente: privilegia adaptação a mudanças de regime sobre estabilidade da projeção.</w:t>
      </w:r>
    </w:p>
    <w:p>
      <w:pPr>
        <w:pStyle w:val="Heading3"/>
        <w:spacing w:after="100" w:before="180"/>
      </w:pPr>
      <w:r>
        <w:rPr>
          <w:b/>
          <w:bCs/>
        </w:rPr>
        <w:t xml:space="preserve">10.3.2 Buffer de segurança k(CV, μ)·σ</w:t>
      </w:r>
    </w:p>
    <w:p>
      <w:pPr>
        <w:spacing w:after="120" w:line="300"/>
        <w:jc w:val="both"/>
      </w:pPr>
      <w:r>
        <w:t xml:space="preserve">A cota com buffer adiciona à projeção um múltiplo do desvio-padrão observado, com fator multiplicador k em função do CV e da magnitude do consumo médio. A função k é escolhida em escada para refletir a doutrina operacional declarada de que itens de baixa rotatividade não devem receber buffer alto mesmo quando seu CV é elevado: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Condição</w:t>
            </w:r>
          </w:p>
        </w:tc>
        <w:tc>
          <w:tcPr>
            <w:tcW w:type="dxa" w:w="1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k</w:t>
            </w:r>
          </w:p>
        </w:tc>
        <w:tc>
          <w:tcPr>
            <w:tcW w:type="dxa" w:w="5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Racional</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μ &lt; 1,0 unid./mês</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0,50</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Baixa rotatividade — CV alto é artefato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CV &lt; 0,30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0,50</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Demanda regular — buffer mínimo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0,30 ≤ CV &lt; 0,70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1,00</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Demanda moderada — buffer de 1σ</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0,70 ≤ CV &lt; 1,20</w:t>
            </w:r>
          </w:p>
        </w:tc>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1,25</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Demanda variável — buffer estendido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CV ≥ 1,20</w:t>
            </w:r>
          </w:p>
        </w:tc>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1,50</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Demanda errática — buffer máximo</w:t>
            </w:r>
          </w:p>
        </w:tc>
      </w:tr>
    </w:tbl>
    <w:p>
      <w:r>
        <w:t xml:space="preserve"/>
      </w:r>
    </w:p>
    <w:p>
      <w:pPr>
        <w:pStyle w:val="Heading3"/>
        <w:spacing w:after="100" w:before="180"/>
      </w:pPr>
      <w:r>
        <w:rPr>
          <w:b/>
          <w:bCs/>
        </w:rPr>
        <w:t xml:space="preserve">10.3.3 Duas políticas oferecidas</w:t>
      </w:r>
    </w:p>
    <w:p>
      <w:pPr>
        <w:spacing w:after="120" w:line="300"/>
        <w:jc w:val="both"/>
      </w:pPr>
      <w:r>
        <w:rPr>
          <w:b/>
          <w:bCs/>
        </w:rPr>
        <w:t xml:space="preserve">Política conservadora: </w:t>
      </w:r>
      <w:r>
        <w:t xml:space="preserve">Q_conserv = ⌈MMP⌉. Equivale ao consumo esperado projetado; minimiza risco de excesso de estoque ao custo de maior probabilidade de falta.</w:t>
      </w:r>
    </w:p>
    <w:p>
      <w:pPr>
        <w:spacing w:after="120" w:line="300"/>
        <w:jc w:val="both"/>
      </w:pPr>
      <w:r>
        <w:rPr>
          <w:b/>
          <w:bCs/>
        </w:rPr>
        <w:t xml:space="preserve">Política com buffer: </w:t>
      </w:r>
      <w:r>
        <w:t xml:space="preserve">Q_buffer = ⌈MMP + k·σ⌉. Adiciona margem de segurança proporcional à variabilidade observada; minimiza falta ao custo de algum excesso esperado.</w:t>
      </w:r>
    </w:p>
    <w:p>
      <w:pPr>
        <w:spacing w:after="120" w:line="300"/>
        <w:jc w:val="both"/>
      </w:pPr>
      <w:r>
        <w:t xml:space="preserve">A escolha entre as duas, em decisão real, depende dos pesos institucionais relativos para falta e excesso, formalizados na Camada 4.</w:t>
      </w:r>
    </w:p>
    <w:p>
      <w:pPr>
        <w:pStyle w:val="Heading3"/>
        <w:spacing w:after="100" w:before="180"/>
      </w:pPr>
      <w:r>
        <w:rPr>
          <w:b/>
          <w:bCs/>
        </w:rPr>
        <w:t xml:space="preserve">10.3.4 Regra de decisão e classificação de ação</w:t>
      </w:r>
    </w:p>
    <w:p>
      <w:pPr>
        <w:spacing w:after="120" w:line="300"/>
        <w:jc w:val="both"/>
      </w:pPr>
      <w:r>
        <w:t xml:space="preserve">Para fins operacionais, cada par recebe uma das quatro ações sugeridas, comparando a cota conservadora proposta com a cota regular média observada (proxy da cota vigente):</w:t>
      </w:r>
    </w:p>
    <w:p>
      <w:pPr>
        <w:pStyle w:val="ListParagraph"/>
        <w:numPr>
          <w:ilvl w:val="0"/>
          <w:numId w:val="3"/>
        </w:numPr>
        <w:spacing w:after="80" w:line="280"/>
        <w:jc w:val="both"/>
      </w:pPr>
      <w:r>
        <w:t xml:space="preserve">reforçar — quando pct_extra ≥ 40% e a cota proposta excede a atual: situação de cota subdimensionada com pressão crônica de extras.</w:t>
      </w:r>
    </w:p>
    <w:p>
      <w:pPr>
        <w:pStyle w:val="ListParagraph"/>
        <w:numPr>
          <w:ilvl w:val="0"/>
          <w:numId w:val="3"/>
        </w:numPr>
        <w:spacing w:after="80" w:line="280"/>
        <w:jc w:val="both"/>
      </w:pPr>
      <w:r>
        <w:t xml:space="preserve">aumentar — cota proposta excede a atual em mais de uma unidade.</w:t>
      </w:r>
    </w:p>
    <w:p>
      <w:pPr>
        <w:pStyle w:val="ListParagraph"/>
        <w:numPr>
          <w:ilvl w:val="0"/>
          <w:numId w:val="3"/>
        </w:numPr>
        <w:spacing w:after="80" w:line="280"/>
        <w:jc w:val="both"/>
      </w:pPr>
      <w:r>
        <w:t xml:space="preserve">reduzir — cota proposta é menor que a atual em mais de uma unidade.</w:t>
      </w:r>
    </w:p>
    <w:p>
      <w:pPr>
        <w:pStyle w:val="ListParagraph"/>
        <w:numPr>
          <w:ilvl w:val="0"/>
          <w:numId w:val="3"/>
        </w:numPr>
        <w:spacing w:after="80" w:line="280"/>
        <w:jc w:val="both"/>
      </w:pPr>
      <w:r>
        <w:t xml:space="preserve">manter — variação dentro da margem de ±1 unidade.</w:t>
      </w:r>
    </w:p>
    <w:p>
      <w:pPr>
        <w:pStyle w:val="ListParagraph"/>
        <w:numPr>
          <w:ilvl w:val="0"/>
          <w:numId w:val="3"/>
        </w:numPr>
        <w:spacing w:after="80" w:line="280"/>
        <w:jc w:val="both"/>
      </w:pPr>
      <w:r>
        <w:t xml:space="preserve">baixa_materialidade — pares com consumo médio inferior a 0,5 unid./mês saem da análise principal e vão para o Anexo (filtro de Pareto).</w:t>
      </w:r>
    </w:p>
    <w:p>
      <w:pPr>
        <w:pStyle w:val="Heading2"/>
        <w:spacing w:after="120" w:before="240"/>
      </w:pPr>
      <w:r>
        <w:rPr>
          <w:b/>
          <w:bCs/>
        </w:rPr>
        <w:t xml:space="preserve">10.4 Camada 4 — Dominância estocástica entre políticas</w:t>
      </w:r>
    </w:p>
    <w:p>
      <w:pPr>
        <w:pStyle w:val="Heading3"/>
        <w:spacing w:after="100" w:before="180"/>
      </w:pPr>
      <w:r>
        <w:rPr>
          <w:b/>
          <w:bCs/>
        </w:rPr>
        <w:t xml:space="preserve">10.4.1 Função de custo</w:t>
      </w:r>
    </w:p>
    <w:p>
      <w:pPr>
        <w:spacing w:after="120" w:line="300"/>
        <w:jc w:val="both"/>
      </w:pPr>
      <w:r>
        <w:t xml:space="preserve">Define-se a função de custo de uma cota Q frente a uma demanda observada D como soma ponderada de duas penalidades:</w:t>
      </w:r>
    </w:p>
    <w:p>
      <w:pPr>
        <w:spacing w:after="120" w:line="300"/>
        <w:jc w:val="center"/>
      </w:pPr>
      <w:r>
        <w:rPr>
          <w:i/>
          <w:iCs/>
        </w:rPr>
        <w:t xml:space="preserve">            C(Q | D) = c_falta · max(0, D − Q) + c_estoque · max(0, Q − D)</w:t>
      </w:r>
    </w:p>
    <w:p>
      <w:pPr>
        <w:spacing w:after="120" w:line="300"/>
        <w:jc w:val="both"/>
      </w:pPr>
      <w:r>
        <w:t xml:space="preserve">A razão c_falta / c_estoque é o parâmetro institucional crítico. Na ausência de valoração formal pela gestão, adota-se a razão de referência 1,0 / 0,3 = 3,33, refletindo a doutrina de que falta de material em USF tem custo (assistencial, reputacional, de re-trabalho) significativamente superior ao de excesso de estoque. Sensibilidade da escolha está prevista no roadmap (Seção 14).</w:t>
      </w:r>
    </w:p>
    <w:p>
      <w:pPr>
        <w:pStyle w:val="Heading3"/>
        <w:spacing w:after="100" w:before="180"/>
      </w:pPr>
      <w:r>
        <w:rPr>
          <w:b/>
          <w:bCs/>
        </w:rPr>
        <w:t xml:space="preserve">10.4.2 Bootstrap não-paramétrico</w:t>
      </w:r>
    </w:p>
    <w:p>
      <w:pPr>
        <w:spacing w:after="120" w:line="300"/>
        <w:jc w:val="both"/>
      </w:pPr>
      <w:r>
        <w:t xml:space="preserve">Para cada par, simula-se a distribuição de custo sob cada uma das três políticas (cota atual, conservadora, com buffer) por bootstrap não-paramétrico com n = 5.000 réplicas. A amostragem é feita com reposição sobre a série de consumo observada do próprio par, o que dispensa pressupostos paramétricos sobre a distribuição da demanda. A semente aleatória é fixada (SEED = 20.260.501) para garantir reprodutibilidade.</w:t>
      </w:r>
    </w:p>
    <w:p>
      <w:pPr>
        <w:pStyle w:val="Heading3"/>
        <w:spacing w:after="100" w:before="180"/>
      </w:pPr>
      <w:r>
        <w:rPr>
          <w:b/>
          <w:bCs/>
        </w:rPr>
        <w:t xml:space="preserve">10.4.3 Teste de dominância estocástica de 2ª ordem (SSD)</w:t>
      </w:r>
    </w:p>
    <w:p>
      <w:pPr>
        <w:spacing w:after="120" w:line="300"/>
        <w:jc w:val="both"/>
      </w:pPr>
      <w:r>
        <w:t xml:space="preserve">A política A domina estocasticamente em 2ª ordem a política B (para um decisor averso ao risco) se e somente se, para todo z,</w:t>
      </w:r>
    </w:p>
    <w:p>
      <w:pPr>
        <w:spacing w:after="120" w:line="300"/>
        <w:jc w:val="center"/>
      </w:pPr>
      <w:r>
        <w:rPr>
          <w:i/>
          <w:iCs/>
        </w:rPr>
        <w:t xml:space="preserve">            ∫_{−∞}^{z} F_A(t) dt ≤ ∫_{−∞}^{z} F_B(t) dt,</w:t>
      </w:r>
    </w:p>
    <w:p>
      <w:pPr>
        <w:spacing w:after="120" w:line="300"/>
        <w:jc w:val="both"/>
      </w:pPr>
      <w:r>
        <w:t xml:space="preserve">com desigualdade estrita em pelo menos um ponto, onde F denota a função de distribuição acumulada do custo. O teste é implementado comparando as integrais empíricas das CDFs sobre uma grade comum de 200 pontos. Quando nenhuma política domina, considera-se a comparação inconclusiva e adota-se o critério auxiliar de menor custo esperado.</w:t>
      </w:r>
    </w:p>
    <w:p>
      <w:pPr>
        <w:pStyle w:val="Heading3"/>
        <w:spacing w:after="100" w:before="180"/>
      </w:pPr>
      <w:r>
        <w:rPr>
          <w:b/>
          <w:bCs/>
        </w:rPr>
        <w:t xml:space="preserve">10.4.4 Saída</w:t>
      </w:r>
    </w:p>
    <w:p>
      <w:pPr>
        <w:spacing w:after="120" w:line="300"/>
        <w:jc w:val="both"/>
      </w:pPr>
      <w:r>
        <w:t xml:space="preserve">Para cada par material (consumo médio ≥ 0,5), o pipeline registra os custos esperados das três políticas, os três resultados de dominância pareada e a política preferida final. A agregação dessas decisões constitui o diagnóstico de eficiência alocativa do sistema.</w:t>
      </w:r>
    </w:p>
    <w:p>
      <w:pPr>
        <w:pStyle w:val="Heading1"/>
        <w:spacing w:after="180" w:before="360"/>
      </w:pPr>
      <w:r>
        <w:rPr>
          <w:b/>
          <w:bCs/>
        </w:rPr>
        <w:t xml:space="preserve">11. Cronograma e faseamento</w:t>
      </w:r>
    </w:p>
    <w:p>
      <w:pPr>
        <w:spacing w:after="120" w:line="300"/>
        <w:jc w:val="both"/>
      </w:pPr>
      <w:r>
        <w:t xml:space="preserve">O projeto é organizado em três fases temporalmente distintas, das quais apenas a Fase I está integralmente concluída no momento desta versão do documento. As Fases II e III dependem de acréscimo de base e de decisão institucional, respectivamente.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2400"/>
        <w:gridCol w:w="1360"/>
      </w:tblGrid>
      <w:tr>
        <w:trPr>
          <w:tblHeader/>
        </w:trPr>
        <w:tc>
          <w:tcPr>
            <w:tcW w:type="dxa" w:w="16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Fase</w:t>
            </w:r>
          </w:p>
        </w:tc>
        <w:tc>
          <w:tcPr>
            <w:tcW w:type="dxa" w:w="4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Atividades</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Marco / entrega</w:t>
            </w:r>
          </w:p>
        </w:tc>
        <w:tc>
          <w:tcPr>
            <w:tcW w:type="dxa" w:w="13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Status</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 — Diagnóstico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Camadas 1–4 sobre base jan–abr/2026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Doc. de projeto + script + planilha</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Concluída (mai/2026)</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II — Calibração</w:t>
            </w:r>
          </w:p>
        </w:tc>
        <w:tc>
          <w:tcPr>
            <w:tcW w:type="dxa" w:w="4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Reexecução com base ampliada (≥ 8 meses); validação out-of-sample da Camada 3; ajuste de razão c_falta/c_estoque com gestão</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Versão 2.0 com IC retroativo</w:t>
            </w:r>
          </w:p>
        </w:tc>
        <w:tc>
          <w:tcPr>
            <w:tcW w:type="dxa" w:w="1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Prevista (set/2026)</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III — Operação</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Integração com SCM ou rotina periódica; recalibração trimestral; relatório executivo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Pipeline automatizado</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Prevista (2027)</w:t>
            </w:r>
          </w:p>
        </w:tc>
      </w:tr>
    </w:tbl>
    <w:p>
      <w:r>
        <w:t xml:space="preserve"/>
      </w:r>
    </w:p>
    <w:p>
      <w:pPr>
        <w:pStyle w:val="Heading1"/>
        <w:spacing w:after="180" w:before="360"/>
      </w:pPr>
      <w:r>
        <w:rPr>
          <w:b/>
          <w:bCs/>
        </w:rPr>
        <w:t xml:space="preserve">12. Indicadores de sucesso</w:t>
      </w:r>
    </w:p>
    <w:p>
      <w:pPr>
        <w:pStyle w:val="Heading2"/>
        <w:spacing w:after="120" w:before="240"/>
      </w:pPr>
      <w:r>
        <w:rPr>
          <w:b/>
          <w:bCs/>
        </w:rPr>
        <w:t xml:space="preserve">12.1 Indicadores de resultado</w:t>
      </w:r>
    </w:p>
    <w:p>
      <w:pPr>
        <w:pStyle w:val="ListParagraph"/>
        <w:numPr>
          <w:ilvl w:val="0"/>
          <w:numId w:val="3"/>
        </w:numPr>
        <w:spacing w:after="80" w:line="280"/>
        <w:jc w:val="both"/>
      </w:pPr>
      <w:r>
        <w:t xml:space="preserve">Redução do percentual de pedidos extras no total de pedidos (linha de base: 16,5%).</w:t>
      </w:r>
    </w:p>
    <w:p>
      <w:pPr>
        <w:pStyle w:val="ListParagraph"/>
        <w:numPr>
          <w:ilvl w:val="0"/>
          <w:numId w:val="3"/>
        </w:numPr>
        <w:spacing w:after="80" w:line="280"/>
        <w:jc w:val="both"/>
      </w:pPr>
      <w:r>
        <w:t xml:space="preserve">Elevação da taxa de atendimento agregada (linha de base: 78,3%).</w:t>
      </w:r>
    </w:p>
    <w:p>
      <w:pPr>
        <w:pStyle w:val="ListParagraph"/>
        <w:numPr>
          <w:ilvl w:val="0"/>
          <w:numId w:val="3"/>
        </w:numPr>
        <w:spacing w:after="80" w:line="280"/>
        <w:jc w:val="both"/>
      </w:pPr>
      <w:r>
        <w:t xml:space="preserve">Estabilização do desvio-padrão do consumo entre meses por par (proxy de previsibilidade pós-redesenho).</w:t>
      </w:r>
    </w:p>
    <w:p>
      <w:pPr>
        <w:pStyle w:val="Heading2"/>
        <w:spacing w:after="120" w:before="240"/>
      </w:pPr>
      <w:r>
        <w:rPr>
          <w:b/>
          <w:bCs/>
        </w:rPr>
        <w:t xml:space="preserve">12.2 Indicadores de processo</w:t>
      </w:r>
    </w:p>
    <w:p>
      <w:pPr>
        <w:pStyle w:val="ListParagraph"/>
        <w:numPr>
          <w:ilvl w:val="0"/>
          <w:numId w:val="3"/>
        </w:numPr>
        <w:spacing w:after="80" w:line="280"/>
        <w:jc w:val="both"/>
      </w:pPr>
      <w:r>
        <w:t xml:space="preserve">Redução do percentual de linhas com flag de erro de lançamento (linha de base: 10,3%) via feedback à equipe operacional.</w:t>
      </w:r>
    </w:p>
    <w:p>
      <w:pPr>
        <w:pStyle w:val="ListParagraph"/>
        <w:numPr>
          <w:ilvl w:val="0"/>
          <w:numId w:val="3"/>
        </w:numPr>
        <w:spacing w:after="80" w:line="280"/>
        <w:jc w:val="both"/>
      </w:pPr>
      <w:r>
        <w:t xml:space="preserve">Tempo entre recebimento do Relatório SCM mensal e entrega do relatório de cota atualizado ≤ 2 dias úteis.</w:t>
      </w:r>
    </w:p>
    <w:p>
      <w:pPr>
        <w:pStyle w:val="Heading2"/>
        <w:spacing w:after="120" w:before="240"/>
      </w:pPr>
      <w:r>
        <w:rPr>
          <w:b/>
          <w:bCs/>
        </w:rPr>
        <w:t xml:space="preserve">12.3 Indicadores de auditabilidade</w:t>
      </w:r>
    </w:p>
    <w:p>
      <w:pPr>
        <w:pStyle w:val="ListParagraph"/>
        <w:numPr>
          <w:ilvl w:val="0"/>
          <w:numId w:val="3"/>
        </w:numPr>
        <w:spacing w:after="80" w:line="280"/>
        <w:jc w:val="both"/>
      </w:pPr>
      <w:r>
        <w:t xml:space="preserve">Cada execução do pipeline gera log de auditoria com linhas de entrada/saída por etapa.</w:t>
      </w:r>
    </w:p>
    <w:p>
      <w:pPr>
        <w:pStyle w:val="ListParagraph"/>
        <w:numPr>
          <w:ilvl w:val="0"/>
          <w:numId w:val="3"/>
        </w:numPr>
        <w:spacing w:after="80" w:line="280"/>
        <w:jc w:val="both"/>
      </w:pPr>
      <w:r>
        <w:t xml:space="preserve">Reprodutibilidade bit-a-bit: rodar o script duas vezes com a mesma entrada e a mesma versão de CONFIG produz arquivos idênticos.</w:t>
      </w:r>
    </w:p>
    <w:p>
      <w:pPr>
        <w:pStyle w:val="ListParagraph"/>
        <w:numPr>
          <w:ilvl w:val="0"/>
          <w:numId w:val="3"/>
        </w:numPr>
        <w:spacing w:after="80" w:line="280"/>
        <w:jc w:val="both"/>
      </w:pPr>
      <w:r>
        <w:t xml:space="preserve">Toda alteração em CONFIG deve ser registrada em changelog versionado.</w:t>
      </w:r>
    </w:p>
    <w:p>
      <w:pPr>
        <w:pStyle w:val="Heading1"/>
        <w:spacing w:after="180" w:before="360"/>
      </w:pPr>
      <w:r>
        <w:rPr>
          <w:b/>
          <w:bCs/>
        </w:rPr>
        <w:t xml:space="preserve">13. Gestão de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Risco</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Probabilidade</w:t>
            </w:r>
          </w:p>
        </w:tc>
        <w:tc>
          <w:tcPr>
            <w:tcW w:type="dxa" w:w="1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Impacto</w:t>
            </w:r>
          </w:p>
        </w:tc>
        <w:tc>
          <w:tcPr>
            <w:tcW w:type="dxa" w:w="35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Mitigação</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Mudança de regime de consumo (epidemia, sazonalidade não capturada)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Média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Alto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Recalibração trimestral; monitoramento de erros out-of-sample na Fase II</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Qualidade do dado SCM piorar</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Baixa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Médio</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Painel de auditoria em cada ciclo; alertas se taxa de erro &gt; 15%</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Ajuste de cota gerar resistência operacional nas USFs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Média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Médio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Validação prévia com coordenadores; transição em fases por categoria</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Razão c_falta/c_estoque adotada divergir da preferência institucional real</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Alta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Médio</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Análise de sensibilidade (Fase II) sobre o vetor de custos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Subnotificação de qtd_rec mascarar diagnóstico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Alta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Alto</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Hierarquia de imputação na Camada 1; campanha de melhoria de lançamento</w:t>
            </w:r>
          </w:p>
        </w:tc>
      </w:tr>
      <w:tr>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Perda de continuidade técnica (saída do analista)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Média</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Alto</w:t>
            </w:r>
          </w:p>
        </w:tc>
        <w:tc>
          <w:tcPr>
            <w:tcW w:type="dxa" w:w="3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Especificação 10.x e script comentado garantem replicação por terceiros</w:t>
            </w:r>
          </w:p>
        </w:tc>
      </w:tr>
    </w:tbl>
    <w:p>
      <w:r>
        <w:t xml:space="preserve"/>
      </w:r>
    </w:p>
    <w:p>
      <w:pPr>
        <w:pStyle w:val="Heading1"/>
        <w:spacing w:after="180" w:before="360"/>
      </w:pPr>
      <w:r>
        <w:rPr>
          <w:b/>
          <w:bCs/>
        </w:rPr>
        <w:t xml:space="preserve">14. Limitações declaradas</w:t>
      </w:r>
    </w:p>
    <w:p>
      <w:pPr>
        <w:spacing w:after="120" w:line="300"/>
        <w:jc w:val="both"/>
      </w:pPr>
      <w:r>
        <w:t xml:space="preserve">Em conformidade com o princípio de auditabilidade do projeto, esta seção declara explicitamente os pontos onde a modelagem proposta tem rigor inferior ao desejável e o porquê.</w:t>
      </w:r>
    </w:p>
    <w:p>
      <w:pPr>
        <w:pStyle w:val="ListParagraph"/>
        <w:numPr>
          <w:ilvl w:val="0"/>
          <w:numId w:val="3"/>
        </w:numPr>
        <w:spacing w:after="80" w:line="280"/>
        <w:jc w:val="both"/>
      </w:pPr>
      <w:r>
        <w:rPr>
          <w:b/>
          <w:bCs/>
        </w:rPr>
        <w:t xml:space="preserve">Painel curto (T = 4): </w:t>
      </w:r>
      <w:r>
        <w:t xml:space="preserve">inviabiliza estimação de sazonalidade e amplia variância das estatísticas de dispersão. CV é estatística instável neste regime.</w:t>
      </w:r>
    </w:p>
    <w:p>
      <w:pPr>
        <w:pStyle w:val="ListParagraph"/>
        <w:numPr>
          <w:ilvl w:val="0"/>
          <w:numId w:val="3"/>
        </w:numPr>
        <w:spacing w:after="80" w:line="280"/>
        <w:jc w:val="both"/>
      </w:pPr>
      <w:r>
        <w:rPr>
          <w:b/>
          <w:bCs/>
        </w:rPr>
        <w:t xml:space="preserve">Pesos da MMP fixos por escolha (não estimados): </w:t>
      </w:r>
      <w:r>
        <w:t xml:space="preserve">a defesa é prática (estimação instável com T = 4), mas há discricionariedade na escolha. A robustez a pesos alternativos será testada na Fase II.</w:t>
      </w:r>
    </w:p>
    <w:p>
      <w:pPr>
        <w:pStyle w:val="ListParagraph"/>
        <w:numPr>
          <w:ilvl w:val="0"/>
          <w:numId w:val="3"/>
        </w:numPr>
        <w:spacing w:after="80" w:line="280"/>
        <w:jc w:val="both"/>
      </w:pPr>
      <w:r>
        <w:rPr>
          <w:b/>
          <w:bCs/>
        </w:rPr>
        <w:t xml:space="preserve">Função k(CV, μ) em escada: </w:t>
      </w:r>
      <w:r>
        <w:t xml:space="preserve">descontinuidades nos cortes são artefato da formulação. Versão futura pode adotar k(·) suave (e.g., sigmoide).</w:t>
      </w:r>
    </w:p>
    <w:p>
      <w:pPr>
        <w:pStyle w:val="ListParagraph"/>
        <w:numPr>
          <w:ilvl w:val="0"/>
          <w:numId w:val="3"/>
        </w:numPr>
        <w:spacing w:after="80" w:line="280"/>
        <w:jc w:val="both"/>
      </w:pPr>
      <w:r>
        <w:rPr>
          <w:b/>
          <w:bCs/>
        </w:rPr>
        <w:t xml:space="preserve">Razão c_falta/c_estoque arbitrada: </w:t>
      </w:r>
      <w:r>
        <w:t xml:space="preserve">na ausência de valoração formal pela gestão, a razão 1,0/0,3 é defensável mas não calibrada. Decisões de dominância podem ser sensíveis a essa escolha.</w:t>
      </w:r>
    </w:p>
    <w:p>
      <w:pPr>
        <w:pStyle w:val="ListParagraph"/>
        <w:numPr>
          <w:ilvl w:val="0"/>
          <w:numId w:val="3"/>
        </w:numPr>
        <w:spacing w:after="80" w:line="280"/>
        <w:jc w:val="both"/>
      </w:pPr>
      <w:r>
        <w:rPr>
          <w:b/>
          <w:bCs/>
        </w:rPr>
        <w:t xml:space="preserve">Pares tratados como independentes: </w:t>
      </w:r>
      <w:r>
        <w:t xml:space="preserve">correlações cruzadas (e.g., álcool/sabonete) não são modeladas. Política conjunta poderia produzir cotas mais eficientes.</w:t>
      </w:r>
    </w:p>
    <w:p>
      <w:pPr>
        <w:pStyle w:val="ListParagraph"/>
        <w:numPr>
          <w:ilvl w:val="0"/>
          <w:numId w:val="3"/>
        </w:numPr>
        <w:spacing w:after="80" w:line="280"/>
        <w:jc w:val="both"/>
      </w:pPr>
      <w:r>
        <w:rPr>
          <w:b/>
          <w:bCs/>
        </w:rPr>
        <w:t xml:space="preserve">Ausência de variável de estoque: </w:t>
      </w:r>
      <w:r>
        <w:t xml:space="preserve">consumo é tomado como escoamento. O balanço material (estoque inicial + entradas − saídas = estoque final) não pode ser fechado.</w:t>
      </w:r>
    </w:p>
    <w:p>
      <w:pPr>
        <w:pStyle w:val="ListParagraph"/>
        <w:numPr>
          <w:ilvl w:val="0"/>
          <w:numId w:val="3"/>
        </w:numPr>
        <w:spacing w:after="80" w:line="280"/>
        <w:jc w:val="both"/>
      </w:pPr>
      <w:r>
        <w:rPr>
          <w:b/>
          <w:bCs/>
        </w:rPr>
        <w:t xml:space="preserve">Heterogeneidade não-observada entre USFs: </w:t>
      </w:r>
      <w:r>
        <w:t xml:space="preserve">tamanho da equipe, número de consultas/mês, perfil populacional não constam do dado e não controlados.</w:t>
      </w:r>
    </w:p>
    <w:p>
      <w:pPr>
        <w:pStyle w:val="Heading1"/>
        <w:spacing w:after="180" w:before="360"/>
      </w:pPr>
      <w:r>
        <w:rPr>
          <w:b/>
          <w:bCs/>
        </w:rPr>
        <w:t xml:space="preserve">15. Roadmap de evolução</w:t>
      </w:r>
    </w:p>
    <w:p>
      <w:pPr>
        <w:spacing w:after="120" w:line="300"/>
        <w:jc w:val="both"/>
      </w:pPr>
      <w:r>
        <w:t xml:space="preserve">Aprimoramentos previstos em ordem de prioridade:</w:t>
      </w:r>
    </w:p>
    <w:p>
      <w:pPr>
        <w:pStyle w:val="ListParagraph"/>
        <w:numPr>
          <w:ilvl w:val="0"/>
          <w:numId w:val="2"/>
        </w:numPr>
        <w:spacing w:after="80" w:line="280"/>
        <w:jc w:val="both"/>
      </w:pPr>
      <w:r>
        <w:t xml:space="preserve">Acumular base até ≥ 8 meses e refazer Camada 2 com dispersão estimada com mais precisão.</w:t>
      </w:r>
    </w:p>
    <w:p>
      <w:pPr>
        <w:pStyle w:val="ListParagraph"/>
        <w:numPr>
          <w:ilvl w:val="0"/>
          <w:numId w:val="2"/>
        </w:numPr>
        <w:spacing w:after="80" w:line="280"/>
        <w:jc w:val="both"/>
      </w:pPr>
      <w:r>
        <w:t xml:space="preserve">Calibrar c_falta/c_estoque junto à gestão (entrevista estruturada ou choice experiment).</w:t>
      </w:r>
    </w:p>
    <w:p>
      <w:pPr>
        <w:pStyle w:val="ListParagraph"/>
        <w:numPr>
          <w:ilvl w:val="0"/>
          <w:numId w:val="2"/>
        </w:numPr>
        <w:spacing w:after="80" w:line="280"/>
        <w:jc w:val="both"/>
      </w:pPr>
      <w:r>
        <w:t xml:space="preserve">Análise de sensibilidade da política preferida ao vetor de custos e aos pesos da MMP.</w:t>
      </w:r>
    </w:p>
    <w:p>
      <w:pPr>
        <w:pStyle w:val="ListParagraph"/>
        <w:numPr>
          <w:ilvl w:val="0"/>
          <w:numId w:val="2"/>
        </w:numPr>
        <w:spacing w:after="80" w:line="280"/>
        <w:jc w:val="both"/>
      </w:pPr>
      <w:r>
        <w:t xml:space="preserve">Substituir k(·) em escada por função contínua e validar via out-of-sample.</w:t>
      </w:r>
    </w:p>
    <w:p>
      <w:pPr>
        <w:pStyle w:val="ListParagraph"/>
        <w:numPr>
          <w:ilvl w:val="0"/>
          <w:numId w:val="2"/>
        </w:numPr>
        <w:spacing w:after="80" w:line="280"/>
        <w:jc w:val="both"/>
      </w:pPr>
      <w:r>
        <w:t xml:space="preserve">Modelar dependência cruzada entre produtos correlatos (álcool/sabonete, papel toalha/papel higiênico).</w:t>
      </w:r>
    </w:p>
    <w:p>
      <w:pPr>
        <w:pStyle w:val="ListParagraph"/>
        <w:numPr>
          <w:ilvl w:val="0"/>
          <w:numId w:val="2"/>
        </w:numPr>
        <w:spacing w:after="80" w:line="280"/>
        <w:jc w:val="both"/>
      </w:pPr>
      <w:r>
        <w:t xml:space="preserve">Incorporar variáveis de heterogeneidade observada (porte da USF, população cadastrada) como controle.</w:t>
      </w:r>
    </w:p>
    <w:p>
      <w:pPr>
        <w:pStyle w:val="ListParagraph"/>
        <w:numPr>
          <w:ilvl w:val="0"/>
          <w:numId w:val="2"/>
        </w:numPr>
        <w:spacing w:after="80" w:line="280"/>
        <w:jc w:val="both"/>
      </w:pPr>
      <w:r>
        <w:t xml:space="preserve">Integrar com o sistema SCM via leitura programática do export mensal (eliminação da etapa manual de download).</w:t>
      </w:r>
    </w:p>
    <w:p>
      <w:r>
        <w:br w:type="page"/>
      </w:r>
    </w:p>
    <w:p>
      <w:pPr>
        <w:pStyle w:val="Heading1"/>
        <w:spacing w:after="180" w:before="360"/>
      </w:pPr>
      <w:r>
        <w:rPr>
          <w:b/>
          <w:bCs/>
        </w:rPr>
        <w:t xml:space="preserve">Anexo A — Especificação formal de variáveis e fórmulas</w:t>
      </w:r>
    </w:p>
    <w:p>
      <w:pPr>
        <w:pStyle w:val="Heading2"/>
        <w:spacing w:after="120" w:before="240"/>
      </w:pPr>
      <w:r>
        <w:rPr>
          <w:b/>
          <w:bCs/>
        </w:rPr>
        <w:t xml:space="preserve">A.1 Variáveis primárias (vindas do Relatório SCM)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400"/>
        <w:gridCol w:w="1700"/>
        <w:gridCol w:w="4160"/>
      </w:tblGrid>
      <w:tr>
        <w:trPr>
          <w:tblHeader/>
        </w:trPr>
        <w:tc>
          <w:tcPr>
            <w:tcW w:type="dxa" w:w="11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Símbolo</w:t>
            </w:r>
          </w:p>
        </w:tc>
        <w:tc>
          <w:tcPr>
            <w:tcW w:type="dxa" w:w="24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Coluna SCM</w:t>
            </w:r>
          </w:p>
        </w:tc>
        <w:tc>
          <w:tcPr>
            <w:tcW w:type="dxa" w:w="17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Tipo</w:t>
            </w:r>
          </w:p>
        </w:tc>
        <w:tc>
          <w:tcPr>
            <w:tcW w:type="dxa" w:w="4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Descrição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u</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UNIDADE</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categórica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Identificador da unidade destinatária</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j</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PRODUTO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categórica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Identificador do produto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c_j</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CATEGORIA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categórica</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Categoria do produto j (Escritório, Copa, Limpeza)</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DATA DA SOLICITAÇÃO</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data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Timestamp de emissão do pedido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QTD SOLICITADA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inteiro ≥ 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Quantidade solicitada pela unidade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QTD ENVIADA</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inteiro ≥ 0</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Quantidade despachada pela CAF</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QTD RECEBIDA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inteiro ≥ 0</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Quantidade confirmada pela unidade</w:t>
            </w:r>
          </w:p>
        </w:tc>
      </w:tr>
      <w:tr>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STATUS</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categórica</w:t>
            </w:r>
          </w:p>
        </w:tc>
        <w:tc>
          <w:tcPr>
            <w:tcW w:type="dxa" w:w="4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Estado do pedido no fluxo</w:t>
            </w:r>
          </w:p>
        </w:tc>
      </w:tr>
      <w:t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x</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PEDIDO EXTRA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booleano</w:t>
            </w:r>
          </w:p>
        </w:tc>
        <w:tc>
          <w:tcPr>
            <w:tcW w:type="dxa" w:w="4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TRUE se pedido extra; FALSE se regular</w:t>
            </w:r>
          </w:p>
        </w:tc>
      </w:tr>
    </w:tbl>
    <w:p>
      <w:r>
        <w:t xml:space="preserve"/>
      </w:r>
    </w:p>
    <w:p>
      <w:pPr>
        <w:pStyle w:val="Heading2"/>
        <w:spacing w:after="120" w:before="240"/>
      </w:pPr>
      <w:r>
        <w:rPr>
          <w:b/>
          <w:bCs/>
        </w:rPr>
        <w:t xml:space="preserve">A.2 Variáveis derivadas</w:t>
      </w:r>
    </w:p>
    <w:p>
      <w:pPr>
        <w:spacing w:after="120" w:line="300"/>
        <w:jc w:val="both"/>
      </w:pPr>
      <w:r>
        <w:t xml:space="preserve">qtd_consumo (variável-alvo consolidada — Seção 10.1.3):</w:t>
      </w:r>
    </w:p>
    <w:p>
      <w:pPr>
        <w:spacing w:after="120" w:line="300"/>
        <w:jc w:val="center"/>
      </w:pPr>
      <w:r>
        <w:rPr>
          <w:i/>
          <w:iCs/>
        </w:rPr>
        <w:t xml:space="preserve">y = f(S, E, R, s) conforme árvore hierárquica.</w:t>
      </w:r>
    </w:p>
    <w:p>
      <w:pPr>
        <w:spacing w:after="120" w:line="300"/>
        <w:jc w:val="both"/>
      </w:pPr>
      <w:r>
        <w:t xml:space="preserve">qtd_demanda (necessidade manifesta, excluindo rejeitados):</w:t>
      </w:r>
    </w:p>
    <w:p>
      <w:pPr>
        <w:spacing w:after="120" w:line="300"/>
        <w:jc w:val="center"/>
      </w:pPr>
      <w:r>
        <w:rPr>
          <w:i/>
          <w:iCs/>
        </w:rPr>
        <w:t xml:space="preserve">d = S · 𝟙(s ≠ Rejeitado).</w:t>
      </w:r>
    </w:p>
    <w:p>
      <w:pPr>
        <w:pStyle w:val="Heading2"/>
        <w:spacing w:after="120" w:before="240"/>
      </w:pPr>
      <w:r>
        <w:rPr>
          <w:b/>
          <w:bCs/>
        </w:rPr>
        <w:t xml:space="preserve">A.3 Métricas por par</w:t>
      </w:r>
    </w:p>
    <w:p>
      <w:pPr>
        <w:spacing w:after="120" w:line="300"/>
        <w:jc w:val="both"/>
      </w:pPr>
      <w:r>
        <w:t xml:space="preserve">Sejam y_{u,j,t} e d_{u,j,t} as séries mensais de consumo e demanda do par (u,j) ao longo dos T = 4 meses do painel. Define-se:</w:t>
      </w:r>
    </w:p>
    <w:p>
      <w:pPr>
        <w:spacing w:after="120" w:line="300"/>
        <w:jc w:val="both"/>
      </w:pPr>
      <w:r>
        <w:t xml:space="preserve">μ_{u,j} = (1/T)·Σ_t y_{u,j,t}</w:t>
      </w:r>
    </w:p>
    <w:p>
      <w:pPr>
        <w:spacing w:after="120" w:line="300"/>
        <w:jc w:val="both"/>
      </w:pPr>
      <w:r>
        <w:t xml:space="preserve">σ_{u,j} = √[(1/T)·Σ_t (y_{u,j,t} − μ_{u,j})²]</w:t>
      </w:r>
    </w:p>
    <w:p>
      <w:pPr>
        <w:spacing w:after="120" w:line="300"/>
        <w:jc w:val="both"/>
      </w:pPr>
      <w:r>
        <w:t xml:space="preserve">CV_{u,j} = σ_{u,j} / μ_{u,j}     (definida apenas se μ &gt; 0)</w:t>
      </w:r>
    </w:p>
    <w:p>
      <w:pPr>
        <w:spacing w:after="120" w:line="300"/>
        <w:jc w:val="both"/>
      </w:pPr>
      <w:r>
        <w:t xml:space="preserve">Gap_{u,j} = (1/T)·Σ_t (d_{u,j,t} − y_{u,j,t})</w:t>
      </w:r>
    </w:p>
    <w:p>
      <w:pPr>
        <w:spacing w:after="120" w:line="300"/>
        <w:jc w:val="both"/>
      </w:pPr>
      <w:r>
        <w:t xml:space="preserve">TaxaAtend_{u,j} = Σ_t y_{u,j,t} / Σ_t d_{u,j,t}</w:t>
      </w:r>
    </w:p>
    <w:p>
      <w:pPr>
        <w:pStyle w:val="Heading2"/>
        <w:spacing w:after="120" w:before="240"/>
      </w:pPr>
      <w:r>
        <w:rPr>
          <w:b/>
          <w:bCs/>
        </w:rPr>
        <w:t xml:space="preserve">A.4 Política de cota</w:t>
      </w:r>
    </w:p>
    <w:p>
      <w:pPr>
        <w:spacing w:after="120" w:line="300"/>
        <w:jc w:val="both"/>
      </w:pPr>
      <w:r>
        <w:t xml:space="preserve">Cota conservadora:</w:t>
      </w:r>
    </w:p>
    <w:p>
      <w:pPr>
        <w:spacing w:after="120" w:line="300"/>
        <w:jc w:val="center"/>
      </w:pPr>
      <w:r>
        <w:rPr>
          <w:i/>
          <w:iCs/>
        </w:rPr>
        <w:t xml:space="preserve">Q^c_{u,j} = ⌈Σ_{i=1..4} w_i · y_{u,j,T−i+1}⌉,    w = (0,10; 0,20; 0,30; 0,40)</w:t>
      </w:r>
    </w:p>
    <w:p>
      <w:pPr>
        <w:spacing w:after="120" w:line="300"/>
        <w:jc w:val="both"/>
      </w:pPr>
      <w:r>
        <w:t xml:space="preserve">Cota com buffer:</w:t>
      </w:r>
    </w:p>
    <w:p>
      <w:pPr>
        <w:spacing w:after="120" w:line="300"/>
        <w:jc w:val="center"/>
      </w:pPr>
      <w:r>
        <w:rPr>
          <w:i/>
          <w:iCs/>
        </w:rPr>
        <w:t xml:space="preserve">Q^b_{u,j} = ⌈Σ w_i · y_{u,j,T−i+1} + k(CV_{u,j}, μ_{u,j}) · σ_{u,j}⌉</w:t>
      </w:r>
    </w:p>
    <w:p>
      <w:pPr>
        <w:spacing w:after="120" w:line="300"/>
        <w:jc w:val="both"/>
      </w:pPr>
      <w:r>
        <w:t xml:space="preserve">com k(·) definida em escada conforme Seção 10.3.2.</w:t>
      </w:r>
    </w:p>
    <w:p>
      <w:pPr>
        <w:pStyle w:val="Heading2"/>
        <w:spacing w:after="120" w:before="240"/>
      </w:pPr>
      <w:r>
        <w:rPr>
          <w:b/>
          <w:bCs/>
        </w:rPr>
        <w:t xml:space="preserve">A.5 Função de custo e dominância</w:t>
      </w:r>
    </w:p>
    <w:p>
      <w:pPr>
        <w:spacing w:after="120" w:line="300"/>
        <w:jc w:val="both"/>
      </w:pPr>
      <w:r>
        <w:t xml:space="preserve">Custo de uma cota Q frente a uma demanda D:</w:t>
      </w:r>
    </w:p>
    <w:p>
      <w:pPr>
        <w:spacing w:after="120" w:line="300"/>
        <w:jc w:val="center"/>
      </w:pPr>
      <w:r>
        <w:rPr>
          <w:i/>
          <w:iCs/>
        </w:rPr>
        <w:t xml:space="preserve">C(Q | D) = c_f · max(0, D − Q) + c_e · max(0, Q − D),    c_f = 1,0; c_e = 0,3</w:t>
      </w:r>
    </w:p>
    <w:p>
      <w:pPr>
        <w:spacing w:after="120" w:line="300"/>
        <w:jc w:val="both"/>
      </w:pPr>
      <w:r>
        <w:t xml:space="preserve">A domina B em SSD se ∀z, ∫_{−∞}^{z} F_A(t) dt ≤ ∫_{−∞}^{z} F_B(t) dt, com desigualdade estrita em algum z.</w:t>
      </w:r>
    </w:p>
    <w:p>
      <w:r>
        <w:br w:type="page"/>
      </w:r>
    </w:p>
    <w:p>
      <w:pPr>
        <w:pStyle w:val="Heading1"/>
        <w:spacing w:after="180" w:before="360"/>
      </w:pPr>
      <w:r>
        <w:rPr>
          <w:b/>
          <w:bCs/>
        </w:rPr>
        <w:t xml:space="preserve">Anexo B — Glossário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Termo</w:t>
            </w:r>
          </w:p>
        </w:tc>
        <w:tc>
          <w:tcPr>
            <w:tcW w:type="dxa" w:w="7160"/>
            <w:tcBorders>
              <w:top w:val="single" w:color="BFBFBF" w:sz="4"/>
              <w:left w:val="single" w:color="BFBFBF" w:sz="4"/>
              <w:bottom w:val="single" w:color="BFBFBF" w:sz="4"/>
              <w:right w:val="single" w:color="BFBFBF" w:sz="4"/>
            </w:tcBorders>
            <w:shd w:fill="1F3864" w:val="clear"/>
            <w:tcMar>
              <w:top w:type="dxa" w:w="100"/>
              <w:left w:type="dxa" w:w="120"/>
              <w:bottom w:type="dxa" w:w="100"/>
              <w:right w:type="dxa" w:w="120"/>
            </w:tcMar>
            <w:vAlign w:val="center"/>
          </w:tcPr>
          <w:p>
            <w:pPr>
              <w:jc w:val="center"/>
            </w:pPr>
            <w:r>
              <w:rPr>
                <w:b/>
                <w:bCs/>
                <w:color w:val="FFFFFF"/>
                <w:sz w:val="20"/>
                <w:szCs w:val="20"/>
              </w:rPr>
              <w:t xml:space="preserve">Definição operacional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APS</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Atenção Primária à Saúde — primeiro nível assistencial do SUS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USF</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Unidade de Saúde da Família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CAF</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Central de Abastecimento Farmacêutico</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SCM</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Sistema de Controle de Materiais (sistema-fonte)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Cota regular</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Quantidade mensal de um produto pré-acordada para uma unidade</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Pedido extra</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Pedido emitido fora da cota regular, sujeito a aprovação gerencial</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Eficiência alocativa</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Propriedade de uma alocação de minimizar custo dada a distribuição de demanda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SSD</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Dominância estocástica de segunda ordem (second-order stochastic dominance)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Bootstrap</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Reamostragem com reposição para estimar distribuição empírica de uma estatística</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MMP</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Média móvel ponderada</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CV</w:t>
            </w:r>
          </w:p>
        </w:tc>
        <w:tc>
          <w:tcPr>
            <w:tcW w:type="dxa" w:w="7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jc w:val="left"/>
            </w:pPr>
            <w:r>
              <w:rPr>
                <w:sz w:val="18"/>
                <w:szCs w:val="18"/>
              </w:rPr>
              <w:t xml:space="preserve">Coeficiente de variação (σ/μ)</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XYZ</w:t>
            </w:r>
          </w:p>
        </w:tc>
        <w:tc>
          <w:tcPr>
            <w:tcW w:type="dxa" w:w="7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vAlign w:val="center"/>
          </w:tcPr>
          <w:p>
            <w:pPr>
              <w:jc w:val="left"/>
            </w:pPr>
            <w:r>
              <w:rPr>
                <w:sz w:val="18"/>
                <w:szCs w:val="18"/>
              </w:rPr>
              <w:t xml:space="preserve">Classificação de itens por previsibilidade (regular / moderado / errático)</w:t>
            </w:r>
          </w:p>
        </w:tc>
      </w:tr>
    </w:tbl>
    <w:p>
      <w:r>
        <w:t xml:space="preserve"/>
      </w:r>
    </w:p>
    <w:p>
      <w:pPr>
        <w:pStyle w:val="Heading1"/>
        <w:spacing w:after="180" w:before="360"/>
      </w:pPr>
      <w:r>
        <w:rPr>
          <w:b/>
          <w:bCs/>
        </w:rPr>
        <w:t xml:space="preserve">Referências</w:t>
      </w:r>
    </w:p>
    <w:p>
      <w:pPr>
        <w:spacing w:after="120" w:line="300"/>
        <w:jc w:val="both"/>
      </w:pPr>
      <w:r>
        <w:t xml:space="preserve">AIGNER, D.; LOVELL, C. A. K.; SCHMIDT, P. Formulation and estimation of stochastic frontier production function models. Journal of Econometrics, v. 6, n. 1, p. 21–37, 1977.</w:t>
      </w:r>
    </w:p>
    <w:p>
      <w:pPr>
        <w:spacing w:after="120" w:line="300"/>
        <w:jc w:val="both"/>
      </w:pPr>
      <w:r>
        <w:t xml:space="preserve">AHIMA — American Health Information Management Association. Data quality management model (updated). Journal of AHIMA, 2019.</w:t>
      </w:r>
    </w:p>
    <w:p>
      <w:pPr>
        <w:spacing w:after="120" w:line="300"/>
        <w:jc w:val="both"/>
      </w:pPr>
      <w:r>
        <w:t xml:space="preserve">FARRELL, M. J. The measurement of productive efficiency. Journal of the Royal Statistical Society, Series A, v. 120, n. 3, p. 253–290, 1957.</w:t>
      </w:r>
    </w:p>
    <w:p>
      <w:pPr>
        <w:spacing w:after="120" w:line="300"/>
        <w:jc w:val="both"/>
      </w:pPr>
      <w:r>
        <w:t xml:space="preserve">HARDAKER, J. B.; RICHARDSON, J. W.; LIEN, G. et al. Stochastic efficiency analysis with risk aversion bounds: a simplified approach. Australian Journal of Agricultural and Resource Economics, v. 48, n. 2, p. 253–270, 2004.</w:t>
      </w:r>
    </w:p>
    <w:p>
      <w:pPr>
        <w:spacing w:after="120" w:line="300"/>
        <w:jc w:val="both"/>
      </w:pPr>
      <w:r>
        <w:t xml:space="preserve">KOOPMANS, T. C. Activity analysis of production and allocation. New York: Wiley, 1951.</w:t>
      </w:r>
    </w:p>
    <w:p>
      <w:pPr>
        <w:spacing w:after="120" w:line="300"/>
        <w:jc w:val="both"/>
      </w:pPr>
      <w:r>
        <w:t xml:space="preserve">LIMA, C. R. de A. et al. Revisão das dimensões de qualidade dos dados e métodos aplicados na avaliação dos sistemas de informação em saúde. Cadernos de Saúde Pública, v. 25, n. 10, 2009.</w:t>
      </w:r>
    </w:p>
    <w:p>
      <w:pPr>
        <w:spacing w:after="120" w:line="300"/>
        <w:jc w:val="both"/>
      </w:pPr>
      <w:r>
        <w:t xml:space="preserve">MEEUSEN, W.; VAN DEN BROECK, J. Efficiency estimation from Cobb-Douglas production functions with composed error. International Economic Review, v. 18, n. 2, p. 435–444, 1977.</w:t>
      </w:r>
    </w:p>
    <w:p>
      <w:pPr>
        <w:spacing w:after="120" w:line="300"/>
        <w:jc w:val="both"/>
      </w:pPr>
      <w:r>
        <w:t xml:space="preserve">MEYER, J. Choice among distributions. Journal of Economic Theory, v. 14, n. 2, p. 326–336, 1977.</w:t>
      </w:r>
    </w:p>
    <w:p>
      <w:pPr>
        <w:spacing w:after="120" w:line="300"/>
        <w:jc w:val="both"/>
      </w:pPr>
      <w:r>
        <w:t xml:space="preserve">SILVER, E. A.; PYKE, D. F.; THOMAS, D. J. Inventory and production management in supply chains. 4. ed. Boca Raton: CRC Press, 2017.</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595959"/>
        <w:sz w:val="18"/>
        <w:szCs w:val="18"/>
      </w:rPr>
      <w:t xml:space="preserve">Ryan G. L. Nascimento · v1.0 · Maio/2026</w:t>
    </w:r>
    <w:r>
      <w:rPr>
        <w:color w:val="595959"/>
        <w:sz w:val="18"/>
        <w:szCs w:val="18"/>
      </w:rPr>
      <w:t xml:space="preserve">		Página </w:t>
    </w:r>
    <w:r>
      <w:rPr>
        <w:color w:val="595959"/>
        <w:sz w:val="18"/>
        <w:szCs w:val="18"/>
      </w:rPr>
      <w:fldChar w:fldCharType="begin"/>
      <w:instrText xml:space="preserve">PAGE</w:instrText>
      <w:fldChar w:fldCharType="separate"/>
      <w:fldChar w:fldCharType="end"/>
    </w:r>
    <w:r>
      <w:rPr>
        <w:color w:val="595959"/>
        <w:sz w:val="18"/>
        <w:szCs w:val="18"/>
      </w:rPr>
      <w:t xml:space="preserve"> de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jc w:val="right"/>
    </w:pPr>
    <w:r>
      <w:rPr>
        <w:i/>
        <w:iCs/>
        <w:color w:val="595959"/>
        <w:sz w:val="18"/>
        <w:szCs w:val="18"/>
      </w:rPr>
      <w:t xml:space="preserve">Eficiência Alocativa sob Incerteza Estocástica · APS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Modelagem da Eficiência Alocativa de Materiais de Apoio na APS</dc:title>
  <dc:creator>Ryan Gabriel de Lima Nascimento</dc:creator>
  <dc:description>Projeto técnico — eficiência alocativa sob incerteza estocástica</dc:description>
  <cp:lastModifiedBy>Un-named</cp:lastModifiedBy>
  <cp:revision>1</cp:revision>
  <dcterms:created xsi:type="dcterms:W3CDTF">2026-05-30T13:46:45.145Z</dcterms:created>
  <dcterms:modified xsi:type="dcterms:W3CDTF">2026-05-30T13:46:45.158Z</dcterms:modified>
</cp:coreProperties>
</file>

<file path=docProps/custom.xml><?xml version="1.0" encoding="utf-8"?>
<Properties xmlns="http://schemas.openxmlformats.org/officeDocument/2006/custom-properties" xmlns:vt="http://schemas.openxmlformats.org/officeDocument/2006/docPropsVTypes"/>
</file>