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spacing w:line="500" w:lineRule="exact"/>
        <w:rPr>
          <w:rFonts w:hint="eastAsia" w:ascii="Times New Roman" w:hAnsi="Times New Roman" w:eastAsia="黑体" w:cs="Times New Roman"/>
          <w:color w:val="000000" w:themeColor="text1"/>
          <w:sz w:val="32"/>
          <w:szCs w:val="32"/>
          <w:lang w:eastAsia="zh-CN"/>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附件</w:t>
      </w:r>
      <w:r>
        <w:rPr>
          <w:rFonts w:hint="eastAsia" w:ascii="Times New Roman" w:hAnsi="Times New Roman" w:eastAsia="黑体" w:cs="Times New Roman"/>
          <w:color w:val="000000" w:themeColor="text1"/>
          <w:sz w:val="32"/>
          <w:szCs w:val="32"/>
          <w:lang w:val="en-US" w:eastAsia="zh-CN"/>
          <w14:textFill>
            <w14:solidFill>
              <w14:schemeClr w14:val="tx1"/>
            </w14:solidFill>
          </w14:textFill>
        </w:rPr>
        <w:t>4</w:t>
      </w:r>
    </w:p>
    <w:p>
      <w:pPr>
        <w:pStyle w:val="6"/>
        <w:pBdr>
          <w:top w:val="none" w:color="auto" w:sz="0" w:space="0"/>
          <w:left w:val="none" w:color="auto" w:sz="0" w:space="0"/>
          <w:bottom w:val="none" w:color="auto" w:sz="0" w:space="0"/>
          <w:right w:val="none" w:color="auto" w:sz="0" w:space="0"/>
        </w:pBdr>
        <w:overflowPunct w:val="0"/>
        <w:snapToGrid/>
        <w:spacing w:line="600" w:lineRule="exact"/>
        <w:jc w:val="center"/>
        <w:rPr>
          <w:rFonts w:hint="default" w:ascii="Times New Roman" w:hAnsi="Times New Roman" w:eastAsia="方正小标宋_GBK" w:cs="Times New Roman"/>
          <w:color w:val="000000" w:themeColor="text1"/>
          <w:sz w:val="44"/>
          <w:szCs w:val="44"/>
          <w14:textFill>
            <w14:solidFill>
              <w14:schemeClr w14:val="tx1"/>
            </w14:solidFill>
          </w14:textFill>
        </w:rPr>
      </w:pPr>
    </w:p>
    <w:p>
      <w:pPr>
        <w:pStyle w:val="6"/>
        <w:pBdr>
          <w:top w:val="none" w:color="auto" w:sz="0" w:space="0"/>
          <w:left w:val="none" w:color="auto" w:sz="0" w:space="0"/>
          <w:bottom w:val="none" w:color="auto" w:sz="0" w:space="0"/>
          <w:right w:val="none" w:color="auto" w:sz="0" w:space="0"/>
        </w:pBdr>
        <w:overflowPunct w:val="0"/>
        <w:snapToGrid/>
        <w:spacing w:line="600" w:lineRule="exact"/>
        <w:jc w:val="center"/>
        <w:rPr>
          <w:rFonts w:hint="default" w:ascii="Times New Roman" w:hAnsi="Times New Roman" w:eastAsia="方正小标宋_GBK" w:cs="Times New Roman"/>
          <w:color w:val="000000" w:themeColor="text1"/>
          <w:sz w:val="44"/>
          <w:szCs w:val="44"/>
          <w14:textFill>
            <w14:solidFill>
              <w14:schemeClr w14:val="tx1"/>
            </w14:solidFill>
          </w14:textFill>
        </w:rPr>
      </w:pPr>
      <w:r>
        <w:rPr>
          <w:rFonts w:hint="default" w:ascii="Times New Roman" w:hAnsi="Times New Roman" w:eastAsia="方正小标宋_GBK" w:cs="Times New Roman"/>
          <w:color w:val="000000" w:themeColor="text1"/>
          <w:sz w:val="44"/>
          <w:szCs w:val="44"/>
          <w14:textFill>
            <w14:solidFill>
              <w14:schemeClr w14:val="tx1"/>
            </w14:solidFill>
          </w14:textFill>
        </w:rPr>
        <w:t>海南省健康体重管理与健康食品产业</w:t>
      </w:r>
    </w:p>
    <w:p>
      <w:pPr>
        <w:pStyle w:val="6"/>
        <w:pBdr>
          <w:top w:val="none" w:color="auto" w:sz="0" w:space="0"/>
          <w:left w:val="none" w:color="auto" w:sz="0" w:space="0"/>
          <w:bottom w:val="none" w:color="auto" w:sz="0" w:space="0"/>
          <w:right w:val="none" w:color="auto" w:sz="0" w:space="0"/>
        </w:pBdr>
        <w:overflowPunct w:val="0"/>
        <w:snapToGrid/>
        <w:spacing w:line="600" w:lineRule="exact"/>
        <w:jc w:val="center"/>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eastAsia="方正小标宋_GBK" w:cs="Times New Roman"/>
          <w:color w:val="000000" w:themeColor="text1"/>
          <w:sz w:val="44"/>
          <w:szCs w:val="44"/>
          <w14:textFill>
            <w14:solidFill>
              <w14:schemeClr w14:val="tx1"/>
            </w14:solidFill>
          </w14:textFill>
        </w:rPr>
        <w:t>发展行动</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体重与人体健康状况密切相关，是反映健康常用的重要指标。低体重影响人体免疫力，超重肥胖是导致心脑血管疾病、糖尿病和部分癌症等慢性病的重要危险因素。随着经济社会发展和人民生活水平提高，特别是生活方式的改变，我国居民在健康状况不断改善的同时，超重肥胖问题也日益突出，亟需加强干预，予以改善。体重管理与健康食品产业协同发展，从源头上预防和控制相关疾病，实现从以治病为中心向以健康为中心转变。</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一、主要目标</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多部门协同实施健康体重管理行动，建立体重管理社会支持性环境，提升居民体重管理意识和技能，普及健康生活方式。发展健康食品产业，推进健康食品向高质量、多元化、个性化的方向发展，倡导健康消费新理念。</w:t>
      </w:r>
      <w:bookmarkStart w:id="0" w:name="_GoBack"/>
      <w:bookmarkEnd w:id="0"/>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default" w:ascii="Times New Roman" w:hAnsi="Times New Roman" w:eastAsia="黑体" w:cs="Times New Roman"/>
          <w:color w:val="000000" w:themeColor="text1"/>
          <w:sz w:val="32"/>
          <w:szCs w:val="32"/>
          <w14:textFill>
            <w14:solidFill>
              <w14:schemeClr w14:val="tx1"/>
            </w14:solidFill>
          </w14:textFill>
        </w:rPr>
        <w:t>二、工作措施</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（一）提高居民体重管理意识，推进健康饮食文化建设</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强化体重管理科学指导。编制和发布合理膳食、科学健身等体重管理核心信息，指导居民提高健康体重的认识，掌握科学管理体重的技能。加强健康生活方式指导员和社会体育指导员的体重管理技能培训。（省卫生健康委牵头，省旅游和文化广电体育厅、省疾控局、省计生协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2.提高居民膳食营养和饮食文化素养。扩大健康体重管理知识普及覆盖范围，倡导吃动平衡、</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三减三健</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等健康理念，强化孕产妇、儿童、老年人等重点人群的健康体重宣传教育，推动体重管理逐步形成社会共识。引导公众自觉进行体重管理，科学有效应对</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小胖墩</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节日胖</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假期肥</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等体重问题。（省委宣传部、省卫生健康委牵头，省旅游和文化广电体育厅、省市场监管局、省教育厅、省民政厅、省疾控局、省计生协按职责分工负责）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3.开发适合居民使用的体重管理工具。基于智能手机终端，开发体重管理应用程序小程序，促进居民体重管理日常化、便利化，指导居民合理膳食和适量运动，倡导和保持健康生活方式。（省卫生健康委牵头，省旅游和文化广电体育厅</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配合</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（二）多措并举，建立体重管理社会支持性环境</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4.推进健康食堂、健康餐厅建设，针对不同营养需求人群提供个性化餐饮选择和服务。开发健康餐饮小程序，提供在线点餐、营养计算等便捷服务。加强对健康食堂和健康餐厅的日常监管和定期评估，确保其持续符合健康标准。（省卫生健康委、省商务厅牵头，省市场监管局、省机关事务管理局、省总工会、省教育厅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5.在学校健康教育教学内容中纳入健康体重等相关知识，推广体重管理教育，确保学生每天有足够的体育活动时间，确保校园内售卖食品的食品安全和营养，鼓励学校为孩子提供健康的食物和运动环境。（省教育厅牵头，省卫生健康委、省市场监管局、省疾控局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6.加强健身设施规划建设，利用社区、公园和商业中心开展多种形式的免费健康运动项目，推广全民健身活动，组织各类体育赛事，鼓励居民参与体育锻炼。建立激励机制，对积极参与全民健身活动的个人和单位给予表彰和奖励，激发全民健身的热情。（省旅游和文化广电体育厅牵头，省卫生健康委、省民政厅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7.在社区层面推广健康生活方式，鼓励社区建设健康小屋、健康主题公园等设施，在社区设立运动健康指导室，为居民提供针对性的运动干预和科学健身指导。（省卫生健康委牵头，省旅游和文化广电体育厅、省总工会、团省委、省妇联、省计生协按职责分工负责）</w:t>
      </w:r>
    </w:p>
    <w:p>
      <w:pPr>
        <w:pStyle w:val="6"/>
        <w:numPr>
          <w:ilvl w:val="255"/>
          <w:numId w:val="0"/>
        </w:numPr>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（三）落实</w:t>
      </w:r>
      <w:r>
        <w:rPr>
          <w:rFonts w:hint="eastAsia" w:ascii="Times New Roman" w:hAnsi="Times New Roman" w:eastAsia="楷体_GB2312" w:cs="Times New Roman"/>
          <w:color w:val="000000" w:themeColor="text1"/>
          <w:sz w:val="32"/>
          <w:szCs w:val="32"/>
          <w14:textFill>
            <w14:solidFill>
              <w14:schemeClr w14:val="tx1"/>
            </w14:solidFill>
          </w14:textFill>
        </w:rPr>
        <w:t>“</w:t>
      </w:r>
      <w:r>
        <w:rPr>
          <w:rFonts w:hint="default" w:ascii="Times New Roman" w:hAnsi="Times New Roman" w:eastAsia="楷体_GB2312" w:cs="Times New Roman"/>
          <w:color w:val="000000" w:themeColor="text1"/>
          <w:sz w:val="32"/>
          <w:szCs w:val="32"/>
          <w14:textFill>
            <w14:solidFill>
              <w14:schemeClr w14:val="tx1"/>
            </w14:solidFill>
          </w14:textFill>
        </w:rPr>
        <w:t>三减</w:t>
      </w:r>
      <w:r>
        <w:rPr>
          <w:rFonts w:hint="eastAsia" w:ascii="Times New Roman" w:hAnsi="Times New Roman" w:eastAsia="楷体_GB2312" w:cs="Times New Roman"/>
          <w:color w:val="000000" w:themeColor="text1"/>
          <w:sz w:val="32"/>
          <w:szCs w:val="32"/>
          <w14:textFill>
            <w14:solidFill>
              <w14:schemeClr w14:val="tx1"/>
            </w14:solidFill>
          </w14:textFill>
        </w:rPr>
        <w:t>”</w:t>
      </w:r>
      <w:r>
        <w:rPr>
          <w:rFonts w:hint="default" w:ascii="Times New Roman" w:hAnsi="Times New Roman" w:eastAsia="楷体_GB2312" w:cs="Times New Roman"/>
          <w:color w:val="000000" w:themeColor="text1"/>
          <w:sz w:val="32"/>
          <w:szCs w:val="32"/>
          <w14:textFill>
            <w14:solidFill>
              <w14:schemeClr w14:val="tx1"/>
            </w14:solidFill>
          </w14:textFill>
        </w:rPr>
        <w:t>政策，加快食品加工营养化转型</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8.鼓励食品生产者生产健康食品，合理降低加工食品中的盐、糖、油的含量，并在包装上作显著标识。（省卫生健康委、省工业和信息化厅牵头，省市场监管局按职责分工负责）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9.鼓励商店、超市等开设低盐、低糖、低脂肪等健康食品专柜，鼓励餐饮服务经营者、集体用餐食堂开发和提供低盐、低糖、低脂肪菜品。（省商务厅牵头，省市场监管局、省卫生健康委、省教育厅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（四）加大宣传力度，强化食品营养健康标识使用</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10.鼓励餐饮服务经营者和集体用餐食堂对所提供食品的能量和主要营养成分等进行标识。在全省分类推出包装饮料食品、快餐、菜单等标注食品热量值，并进行健康摄入能量提醒。加强对食品生产和销售企业的监管，确保其产品标签信息的准确性和完整性。（省商务厅牵头，省市场监管局、省卫生健康委、省教育厅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11.加强认读食品营养标签知识的宣传普及，提高消费者正确认读食品营养标签的能力。（省卫生健康委牵头，省科协、省市场监管局、省委宣传部按职责分工负责）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（五）强化科技支撑，推动健康食品的开发和利用</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12.促进科技与健康食品产业深度融合，鼓励食品企业重点围绕健康食品加工制造、食品安全、营养健康等方面进行深入研究，加速健康食品产业与现代农业、教育文化、健康养生等融合，鼓励发展健康食品产业相关的新业态，推动健康食品产业发展，促进健康体重管理。（省工业和信息化厅、省科技厅牵头，省卫生健康委、省发展改革委、省农业农村厅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13.制定有关健康食品的政策和标准，确保市场上销售的健康食品符合营养和安全要求。设立健康食品的认证和标识制度，对符合标准的健康食品进行认证和标识，方便消费者识别和选择。建立健全健康食品的监管体系，加强对健康食品生产、销售的监管力度，确保市场秩序的规范。（省卫生健康委牵头，省市场监管局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楷体_GB2312" w:cs="Times New Roman"/>
          <w:color w:val="000000" w:themeColor="text1"/>
          <w:sz w:val="32"/>
          <w:szCs w:val="32"/>
          <w14:textFill>
            <w14:solidFill>
              <w14:schemeClr w14:val="tx1"/>
            </w14:solidFill>
          </w14:textFill>
        </w:rPr>
      </w:pPr>
      <w:r>
        <w:rPr>
          <w:rFonts w:hint="default" w:ascii="Times New Roman" w:hAnsi="Times New Roman" w:eastAsia="楷体_GB2312" w:cs="Times New Roman"/>
          <w:color w:val="000000" w:themeColor="text1"/>
          <w:sz w:val="32"/>
          <w:szCs w:val="32"/>
          <w14:textFill>
            <w14:solidFill>
              <w14:schemeClr w14:val="tx1"/>
            </w14:solidFill>
          </w14:textFill>
        </w:rPr>
        <w:t>（六）发挥中医药作用，推进优势特色健康食物品牌建设</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14.利用我省优质特色食物资源，坚持质量引领、加大力度打造</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标杆</w:t>
      </w:r>
      <w:r>
        <w:rPr>
          <w:rFonts w:hint="eastAsia"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品牌。充分挖掘和利用海南热带中药材资源，研发生产中药材系列健康食品，进一步推广相关中医药适宜技术和传播中医药健康理念，管理体重，发挥中医药特色优势对健康体重管理的技术支撑作用。（省卫生健康委牵头，省商务厅、省农业农村厅、省中医药管理局、省药监局按职责分工负责）</w:t>
      </w:r>
    </w:p>
    <w:p>
      <w:pPr>
        <w:pStyle w:val="6"/>
        <w:pBdr>
          <w:top w:val="none" w:color="auto" w:sz="0" w:space="0"/>
          <w:left w:val="none" w:color="auto" w:sz="0" w:space="0"/>
          <w:bottom w:val="none" w:color="auto" w:sz="0" w:space="0"/>
          <w:right w:val="none" w:color="auto" w:sz="0" w:space="0"/>
        </w:pBdr>
        <w:overflowPunct w:val="0"/>
        <w:snapToGrid/>
        <w:spacing w:line="60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p>
    <w:p>
      <w:pPr>
        <w:pStyle w:val="6"/>
        <w:pBdr>
          <w:top w:val="none" w:color="auto" w:sz="0" w:space="0"/>
          <w:left w:val="none" w:color="auto" w:sz="0" w:space="0"/>
          <w:bottom w:val="none" w:color="auto" w:sz="0" w:space="0"/>
          <w:right w:val="none" w:color="auto" w:sz="0" w:space="0"/>
        </w:pBdr>
        <w:overflowPunct w:val="0"/>
        <w:snapToGrid/>
        <w:rPr>
          <w:rFonts w:hint="default" w:ascii="Times New Roman" w:hAnsi="Times New Roman" w:eastAsia="仿宋_GB2312" w:cs="Times New Roman"/>
          <w:color w:val="000000" w:themeColor="text1"/>
          <w:sz w:val="28"/>
          <w:szCs w:val="28"/>
          <w14:textFill>
            <w14:solidFill>
              <w14:schemeClr w14:val="tx1"/>
            </w14:solidFill>
          </w14:textFill>
        </w:rPr>
      </w:pPr>
    </w:p>
    <w:sectPr>
      <w:headerReference r:id="rId3" w:type="default"/>
      <w:footerReference r:id="rId4" w:type="default"/>
      <w:pgSz w:w="11906" w:h="16838"/>
      <w:pgMar w:top="1928" w:right="1531" w:bottom="1701" w:left="1531" w:header="0" w:footer="124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小标宋_GBK">
    <w:panose1 w:val="02000000000000000000"/>
    <w:charset w:val="86"/>
    <w:family w:val="script"/>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861167929"/>
      <w:docPartObj>
        <w:docPartGallery w:val="autotext"/>
      </w:docPartObj>
    </w:sdtPr>
    <w:sdtEndPr>
      <w:rPr>
        <w:rFonts w:asciiTheme="minorEastAsia" w:hAnsiTheme="minorEastAsia"/>
        <w:sz w:val="28"/>
        <w:szCs w:val="28"/>
      </w:rPr>
    </w:sdtEndPr>
    <w:sdtContent>
      <w:p>
        <w:pPr>
          <w:pStyle w:val="5"/>
          <w:jc w:val="center"/>
          <w:rPr>
            <w:rFonts w:asciiTheme="minorEastAsia" w:hAnsiTheme="minorEastAsia"/>
            <w:sz w:val="28"/>
            <w:szCs w:val="28"/>
          </w:rPr>
        </w:pPr>
        <w:r>
          <w:rPr>
            <w:rFonts w:hint="eastAsia" w:asciiTheme="minorEastAsia" w:hAnsiTheme="minorEastAsia"/>
            <w:sz w:val="28"/>
            <w:szCs w:val="28"/>
          </w:rPr>
          <w:t xml:space="preserve">— </w:t>
        </w: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4</w:t>
        </w:r>
        <w:r>
          <w:rPr>
            <w:rFonts w:asciiTheme="minorEastAsia" w:hAnsiTheme="minorEastAsia"/>
            <w:sz w:val="28"/>
            <w:szCs w:val="28"/>
          </w:rPr>
          <w:fldChar w:fldCharType="end"/>
        </w:r>
        <w:r>
          <w:rPr>
            <w:rFonts w:asciiTheme="minorEastAsia" w:hAnsiTheme="minorEastAsia"/>
            <w:sz w:val="28"/>
            <w:szCs w:val="28"/>
          </w:rPr>
          <w:t xml:space="preserve"> —</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saveSubsetFonts/>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5N2EzZmM5MDRhNDU5M2U2NjJmZjlkNzRlODEzOTUifQ=="/>
    <w:docVar w:name="KSO_WPS_MARK_KEY" w:val="d45b22a0-0df8-4837-abfb-8091ef034a21"/>
  </w:docVars>
  <w:rsids>
    <w:rsidRoot w:val="00172A27"/>
    <w:rsid w:val="00071D13"/>
    <w:rsid w:val="000E48E0"/>
    <w:rsid w:val="001663A6"/>
    <w:rsid w:val="00172A27"/>
    <w:rsid w:val="001E2E2A"/>
    <w:rsid w:val="001E53C1"/>
    <w:rsid w:val="001F0B88"/>
    <w:rsid w:val="002D7AC7"/>
    <w:rsid w:val="002E72B1"/>
    <w:rsid w:val="00301C4A"/>
    <w:rsid w:val="003253BD"/>
    <w:rsid w:val="0034220B"/>
    <w:rsid w:val="0038604D"/>
    <w:rsid w:val="00444F2D"/>
    <w:rsid w:val="0047644C"/>
    <w:rsid w:val="00506CD8"/>
    <w:rsid w:val="005A47B3"/>
    <w:rsid w:val="006519BC"/>
    <w:rsid w:val="0073650E"/>
    <w:rsid w:val="00753D01"/>
    <w:rsid w:val="00761729"/>
    <w:rsid w:val="00762D2B"/>
    <w:rsid w:val="00790F53"/>
    <w:rsid w:val="00936C32"/>
    <w:rsid w:val="00973503"/>
    <w:rsid w:val="00B84338"/>
    <w:rsid w:val="00B93F2F"/>
    <w:rsid w:val="00BE78EF"/>
    <w:rsid w:val="00C0245E"/>
    <w:rsid w:val="00CE0DAA"/>
    <w:rsid w:val="00D31A24"/>
    <w:rsid w:val="00DA7FC4"/>
    <w:rsid w:val="00E12524"/>
    <w:rsid w:val="00E20008"/>
    <w:rsid w:val="00E55F3A"/>
    <w:rsid w:val="00EE5FC8"/>
    <w:rsid w:val="00F4543F"/>
    <w:rsid w:val="01795E0A"/>
    <w:rsid w:val="01FF79FB"/>
    <w:rsid w:val="02661E94"/>
    <w:rsid w:val="04D05CEB"/>
    <w:rsid w:val="05412745"/>
    <w:rsid w:val="05A056BD"/>
    <w:rsid w:val="05FB28F4"/>
    <w:rsid w:val="06D30B77"/>
    <w:rsid w:val="07312B60"/>
    <w:rsid w:val="07AD2313"/>
    <w:rsid w:val="0811777B"/>
    <w:rsid w:val="082D03E3"/>
    <w:rsid w:val="085729D9"/>
    <w:rsid w:val="099D0853"/>
    <w:rsid w:val="09B432D9"/>
    <w:rsid w:val="0DBC0BBA"/>
    <w:rsid w:val="0DF34288"/>
    <w:rsid w:val="0DF39172"/>
    <w:rsid w:val="0E327595"/>
    <w:rsid w:val="0F2B4570"/>
    <w:rsid w:val="0FD42079"/>
    <w:rsid w:val="118934A9"/>
    <w:rsid w:val="1191235E"/>
    <w:rsid w:val="11967974"/>
    <w:rsid w:val="135C0DDD"/>
    <w:rsid w:val="13CD0DEC"/>
    <w:rsid w:val="154F5AC4"/>
    <w:rsid w:val="1552393D"/>
    <w:rsid w:val="157E5F7B"/>
    <w:rsid w:val="16107EE8"/>
    <w:rsid w:val="16C44F84"/>
    <w:rsid w:val="17277329"/>
    <w:rsid w:val="17280D8F"/>
    <w:rsid w:val="173043C7"/>
    <w:rsid w:val="17B9260F"/>
    <w:rsid w:val="17BE1F85"/>
    <w:rsid w:val="17C57205"/>
    <w:rsid w:val="19834C82"/>
    <w:rsid w:val="199802D0"/>
    <w:rsid w:val="19D11E91"/>
    <w:rsid w:val="1A8F487B"/>
    <w:rsid w:val="1B73276D"/>
    <w:rsid w:val="1C7174C4"/>
    <w:rsid w:val="1D9C1A26"/>
    <w:rsid w:val="1E336452"/>
    <w:rsid w:val="1E7F2483"/>
    <w:rsid w:val="1EDC287A"/>
    <w:rsid w:val="20CE6F6D"/>
    <w:rsid w:val="21004E0A"/>
    <w:rsid w:val="21207347"/>
    <w:rsid w:val="2180341A"/>
    <w:rsid w:val="222D5D35"/>
    <w:rsid w:val="22B57860"/>
    <w:rsid w:val="232C1721"/>
    <w:rsid w:val="238D2173"/>
    <w:rsid w:val="23D6083D"/>
    <w:rsid w:val="24E4298F"/>
    <w:rsid w:val="25337D57"/>
    <w:rsid w:val="257248E6"/>
    <w:rsid w:val="25AC6316"/>
    <w:rsid w:val="25BE5766"/>
    <w:rsid w:val="26B347F1"/>
    <w:rsid w:val="26B53024"/>
    <w:rsid w:val="27834DF5"/>
    <w:rsid w:val="27BF77CD"/>
    <w:rsid w:val="2855454A"/>
    <w:rsid w:val="2858006C"/>
    <w:rsid w:val="287D6262"/>
    <w:rsid w:val="28CE4220"/>
    <w:rsid w:val="292C24D8"/>
    <w:rsid w:val="29EC6B2F"/>
    <w:rsid w:val="2A0642E5"/>
    <w:rsid w:val="2A1B43AD"/>
    <w:rsid w:val="2AA73428"/>
    <w:rsid w:val="2AFFC67B"/>
    <w:rsid w:val="2CFE5780"/>
    <w:rsid w:val="2D964B2C"/>
    <w:rsid w:val="2DCB16AE"/>
    <w:rsid w:val="2DEB0894"/>
    <w:rsid w:val="2EBC05C2"/>
    <w:rsid w:val="2EBC4099"/>
    <w:rsid w:val="2EE93EAA"/>
    <w:rsid w:val="2F17150D"/>
    <w:rsid w:val="30231F3A"/>
    <w:rsid w:val="302738F7"/>
    <w:rsid w:val="313B4279"/>
    <w:rsid w:val="31DDC248"/>
    <w:rsid w:val="32193F7E"/>
    <w:rsid w:val="342C53BC"/>
    <w:rsid w:val="346C0F8D"/>
    <w:rsid w:val="34CB24B4"/>
    <w:rsid w:val="351F5D4F"/>
    <w:rsid w:val="36AE2370"/>
    <w:rsid w:val="36B846C9"/>
    <w:rsid w:val="36EF5213"/>
    <w:rsid w:val="36F85D0C"/>
    <w:rsid w:val="37B70B98"/>
    <w:rsid w:val="37D83F19"/>
    <w:rsid w:val="38E42A82"/>
    <w:rsid w:val="38FE013B"/>
    <w:rsid w:val="3953BB5A"/>
    <w:rsid w:val="3A2D6269"/>
    <w:rsid w:val="3A7B2139"/>
    <w:rsid w:val="3A8B5C07"/>
    <w:rsid w:val="3B2C3542"/>
    <w:rsid w:val="3B7FC010"/>
    <w:rsid w:val="3BED17E7"/>
    <w:rsid w:val="3C391B25"/>
    <w:rsid w:val="3C795D45"/>
    <w:rsid w:val="3D3B2FFA"/>
    <w:rsid w:val="3D5677EF"/>
    <w:rsid w:val="3D7375F5"/>
    <w:rsid w:val="3D926EFD"/>
    <w:rsid w:val="3D9A4029"/>
    <w:rsid w:val="3DB5A759"/>
    <w:rsid w:val="3DC618C7"/>
    <w:rsid w:val="3DED2025"/>
    <w:rsid w:val="3EC72808"/>
    <w:rsid w:val="3EF7C1AC"/>
    <w:rsid w:val="3EFA763A"/>
    <w:rsid w:val="3EFBF814"/>
    <w:rsid w:val="3F376C6D"/>
    <w:rsid w:val="3F780536"/>
    <w:rsid w:val="3F9FBBF2"/>
    <w:rsid w:val="3FBC5811"/>
    <w:rsid w:val="3FBFE36E"/>
    <w:rsid w:val="3FF3D69E"/>
    <w:rsid w:val="40BA3D2D"/>
    <w:rsid w:val="41831414"/>
    <w:rsid w:val="41DD6656"/>
    <w:rsid w:val="43780ED6"/>
    <w:rsid w:val="43A76032"/>
    <w:rsid w:val="43BD1060"/>
    <w:rsid w:val="44202F4A"/>
    <w:rsid w:val="44226CC2"/>
    <w:rsid w:val="449E1B23"/>
    <w:rsid w:val="44B83F65"/>
    <w:rsid w:val="4671748D"/>
    <w:rsid w:val="474B29D4"/>
    <w:rsid w:val="47857C94"/>
    <w:rsid w:val="49C3B426"/>
    <w:rsid w:val="49DF5EA5"/>
    <w:rsid w:val="49F319C4"/>
    <w:rsid w:val="4A2C1273"/>
    <w:rsid w:val="4A435BE4"/>
    <w:rsid w:val="4ACC3E2B"/>
    <w:rsid w:val="4BD37CA8"/>
    <w:rsid w:val="4BF4363A"/>
    <w:rsid w:val="4C03387D"/>
    <w:rsid w:val="4C3A6A54"/>
    <w:rsid w:val="4D1A79A9"/>
    <w:rsid w:val="4D2C0BB1"/>
    <w:rsid w:val="4DDE53B2"/>
    <w:rsid w:val="4DF25957"/>
    <w:rsid w:val="4E5744B8"/>
    <w:rsid w:val="4EF821FD"/>
    <w:rsid w:val="4F7702E7"/>
    <w:rsid w:val="501B46D5"/>
    <w:rsid w:val="504D7953"/>
    <w:rsid w:val="50592C9B"/>
    <w:rsid w:val="50597248"/>
    <w:rsid w:val="511314AB"/>
    <w:rsid w:val="51EB3D58"/>
    <w:rsid w:val="52BE405A"/>
    <w:rsid w:val="53A06F56"/>
    <w:rsid w:val="540459B2"/>
    <w:rsid w:val="55105B7A"/>
    <w:rsid w:val="55746915"/>
    <w:rsid w:val="55D75169"/>
    <w:rsid w:val="562763BA"/>
    <w:rsid w:val="573B6488"/>
    <w:rsid w:val="57D6AB2C"/>
    <w:rsid w:val="590316FF"/>
    <w:rsid w:val="59082406"/>
    <w:rsid w:val="59284923"/>
    <w:rsid w:val="59723DF0"/>
    <w:rsid w:val="59C66DAB"/>
    <w:rsid w:val="5A3F0176"/>
    <w:rsid w:val="5A954723"/>
    <w:rsid w:val="5A9658BC"/>
    <w:rsid w:val="5AA64A0A"/>
    <w:rsid w:val="5ACFBAAB"/>
    <w:rsid w:val="5AF41A99"/>
    <w:rsid w:val="5B1D5CD6"/>
    <w:rsid w:val="5B535B27"/>
    <w:rsid w:val="5BCC2963"/>
    <w:rsid w:val="5BEEC366"/>
    <w:rsid w:val="5BFF67BF"/>
    <w:rsid w:val="5C2869E8"/>
    <w:rsid w:val="5C2C472A"/>
    <w:rsid w:val="5C313200"/>
    <w:rsid w:val="5CFDAA42"/>
    <w:rsid w:val="5DBDEA99"/>
    <w:rsid w:val="5DEB3D18"/>
    <w:rsid w:val="5E2FE250"/>
    <w:rsid w:val="5E4C20F5"/>
    <w:rsid w:val="5EB6B1A8"/>
    <w:rsid w:val="5ED12224"/>
    <w:rsid w:val="5F7E683B"/>
    <w:rsid w:val="5FCF1D7D"/>
    <w:rsid w:val="5FF3B12D"/>
    <w:rsid w:val="61A3697A"/>
    <w:rsid w:val="629848C7"/>
    <w:rsid w:val="63531A54"/>
    <w:rsid w:val="63CD457E"/>
    <w:rsid w:val="63F7AB6A"/>
    <w:rsid w:val="64470ECE"/>
    <w:rsid w:val="655373A1"/>
    <w:rsid w:val="65AF23AA"/>
    <w:rsid w:val="65BF7996"/>
    <w:rsid w:val="65FF07B9"/>
    <w:rsid w:val="670859C9"/>
    <w:rsid w:val="67BF28F6"/>
    <w:rsid w:val="67BF47B3"/>
    <w:rsid w:val="67C41ADD"/>
    <w:rsid w:val="689A0448"/>
    <w:rsid w:val="691733A9"/>
    <w:rsid w:val="693966D8"/>
    <w:rsid w:val="6951448C"/>
    <w:rsid w:val="69A00087"/>
    <w:rsid w:val="69C96E41"/>
    <w:rsid w:val="69D54418"/>
    <w:rsid w:val="69EE301F"/>
    <w:rsid w:val="6A082C8B"/>
    <w:rsid w:val="6AA53610"/>
    <w:rsid w:val="6AED777A"/>
    <w:rsid w:val="6BCF0462"/>
    <w:rsid w:val="6C0A19BC"/>
    <w:rsid w:val="6C2947E2"/>
    <w:rsid w:val="6C2B2CB7"/>
    <w:rsid w:val="6C7F9869"/>
    <w:rsid w:val="6CB5285B"/>
    <w:rsid w:val="6CD64D38"/>
    <w:rsid w:val="6D972056"/>
    <w:rsid w:val="6DE35F86"/>
    <w:rsid w:val="6DE745C6"/>
    <w:rsid w:val="6E0D5AED"/>
    <w:rsid w:val="6E1642FA"/>
    <w:rsid w:val="6E382AA6"/>
    <w:rsid w:val="6E810905"/>
    <w:rsid w:val="6EBB23F0"/>
    <w:rsid w:val="6EC92CE2"/>
    <w:rsid w:val="6ED5115C"/>
    <w:rsid w:val="6EF54A82"/>
    <w:rsid w:val="6F32626C"/>
    <w:rsid w:val="6F9FE614"/>
    <w:rsid w:val="6FBF2744"/>
    <w:rsid w:val="6FD37DEE"/>
    <w:rsid w:val="6FDD111F"/>
    <w:rsid w:val="6FF7A0B5"/>
    <w:rsid w:val="72473C14"/>
    <w:rsid w:val="72522CC7"/>
    <w:rsid w:val="72B868C0"/>
    <w:rsid w:val="7306587D"/>
    <w:rsid w:val="7309711B"/>
    <w:rsid w:val="738467A2"/>
    <w:rsid w:val="73A77AA4"/>
    <w:rsid w:val="73EB05CF"/>
    <w:rsid w:val="73FBF4CA"/>
    <w:rsid w:val="74102E4B"/>
    <w:rsid w:val="75612205"/>
    <w:rsid w:val="75F22549"/>
    <w:rsid w:val="76951931"/>
    <w:rsid w:val="76E35453"/>
    <w:rsid w:val="76F8E40C"/>
    <w:rsid w:val="774FF8F5"/>
    <w:rsid w:val="77577070"/>
    <w:rsid w:val="77DC8843"/>
    <w:rsid w:val="78043E96"/>
    <w:rsid w:val="781B42A5"/>
    <w:rsid w:val="78EDD550"/>
    <w:rsid w:val="79BE5C9D"/>
    <w:rsid w:val="79FD9F41"/>
    <w:rsid w:val="7A231F4F"/>
    <w:rsid w:val="7A943A30"/>
    <w:rsid w:val="7AE3A046"/>
    <w:rsid w:val="7B3F4C63"/>
    <w:rsid w:val="7B87288A"/>
    <w:rsid w:val="7BB146A7"/>
    <w:rsid w:val="7BC07194"/>
    <w:rsid w:val="7BE5869F"/>
    <w:rsid w:val="7BF5CEB8"/>
    <w:rsid w:val="7BFE9ADB"/>
    <w:rsid w:val="7BFEB2A4"/>
    <w:rsid w:val="7C281891"/>
    <w:rsid w:val="7C642C5E"/>
    <w:rsid w:val="7C8D4911"/>
    <w:rsid w:val="7CBEF996"/>
    <w:rsid w:val="7CC10BA4"/>
    <w:rsid w:val="7CEF723A"/>
    <w:rsid w:val="7D5BEC39"/>
    <w:rsid w:val="7DB14637"/>
    <w:rsid w:val="7DF3E205"/>
    <w:rsid w:val="7DFC23FD"/>
    <w:rsid w:val="7DFF8F29"/>
    <w:rsid w:val="7E2272E3"/>
    <w:rsid w:val="7E3E411D"/>
    <w:rsid w:val="7E4B4271"/>
    <w:rsid w:val="7EDF60FE"/>
    <w:rsid w:val="7EE527EB"/>
    <w:rsid w:val="7EEB3170"/>
    <w:rsid w:val="7F1942A8"/>
    <w:rsid w:val="7F1F16E5"/>
    <w:rsid w:val="7F377DF6"/>
    <w:rsid w:val="7F766AF7"/>
    <w:rsid w:val="7F77D86F"/>
    <w:rsid w:val="7F7EAB50"/>
    <w:rsid w:val="7F9D785A"/>
    <w:rsid w:val="7FAFC7A7"/>
    <w:rsid w:val="7FBFD66A"/>
    <w:rsid w:val="7FD187D0"/>
    <w:rsid w:val="7FD95816"/>
    <w:rsid w:val="7FDA380A"/>
    <w:rsid w:val="7FE1154C"/>
    <w:rsid w:val="7FF64E8F"/>
    <w:rsid w:val="948F9349"/>
    <w:rsid w:val="9CFCF69E"/>
    <w:rsid w:val="9FA5D95F"/>
    <w:rsid w:val="9FFB7A8B"/>
    <w:rsid w:val="A7F978F1"/>
    <w:rsid w:val="AB9F301D"/>
    <w:rsid w:val="ABFFC0C0"/>
    <w:rsid w:val="AC1F1394"/>
    <w:rsid w:val="AFFFE9F3"/>
    <w:rsid w:val="B1AF168F"/>
    <w:rsid w:val="B4ED9EC2"/>
    <w:rsid w:val="B6FBF291"/>
    <w:rsid w:val="B9CFA5C9"/>
    <w:rsid w:val="BA9FE966"/>
    <w:rsid w:val="BCEBD6C3"/>
    <w:rsid w:val="BDFB3B18"/>
    <w:rsid w:val="BE3B2694"/>
    <w:rsid w:val="BFB6E40F"/>
    <w:rsid w:val="BFFF2369"/>
    <w:rsid w:val="C9DB4F5A"/>
    <w:rsid w:val="CDCF868D"/>
    <w:rsid w:val="CDFE79D7"/>
    <w:rsid w:val="CF93E0A4"/>
    <w:rsid w:val="D39F9E76"/>
    <w:rsid w:val="D4755AA5"/>
    <w:rsid w:val="D7EF25D7"/>
    <w:rsid w:val="D7FF8502"/>
    <w:rsid w:val="DAFB0F44"/>
    <w:rsid w:val="DB7E801A"/>
    <w:rsid w:val="DBFF9577"/>
    <w:rsid w:val="DD3BE51C"/>
    <w:rsid w:val="DDAFEB47"/>
    <w:rsid w:val="DDB7C574"/>
    <w:rsid w:val="DDBDCDDA"/>
    <w:rsid w:val="DDBF8090"/>
    <w:rsid w:val="DFB7B7A3"/>
    <w:rsid w:val="DFFE7030"/>
    <w:rsid w:val="DFFFB9AE"/>
    <w:rsid w:val="E7FD0004"/>
    <w:rsid w:val="EABF9ECA"/>
    <w:rsid w:val="EB7FC27F"/>
    <w:rsid w:val="EEFB72A1"/>
    <w:rsid w:val="EF7FE01A"/>
    <w:rsid w:val="EFDFB1F8"/>
    <w:rsid w:val="F2679886"/>
    <w:rsid w:val="F3F7D3DB"/>
    <w:rsid w:val="F5E48E3C"/>
    <w:rsid w:val="F5EFD621"/>
    <w:rsid w:val="F5FF1E29"/>
    <w:rsid w:val="F5FFD21C"/>
    <w:rsid w:val="F75C3D46"/>
    <w:rsid w:val="F79E59AD"/>
    <w:rsid w:val="F7AFA8B1"/>
    <w:rsid w:val="F7BD91AF"/>
    <w:rsid w:val="F7FF6228"/>
    <w:rsid w:val="F9FC8179"/>
    <w:rsid w:val="FAEE14C0"/>
    <w:rsid w:val="FB5304F9"/>
    <w:rsid w:val="FBF4F721"/>
    <w:rsid w:val="FCBD9E52"/>
    <w:rsid w:val="FD6372B0"/>
    <w:rsid w:val="FDDF61A1"/>
    <w:rsid w:val="FDEBC8EE"/>
    <w:rsid w:val="FDF97F7E"/>
    <w:rsid w:val="FDFDCC91"/>
    <w:rsid w:val="FE9BE39F"/>
    <w:rsid w:val="FEF7A8B5"/>
    <w:rsid w:val="FEFE041A"/>
    <w:rsid w:val="FEFFDF21"/>
    <w:rsid w:val="FF7F0ACE"/>
    <w:rsid w:val="FF7F5817"/>
    <w:rsid w:val="FF9B2556"/>
    <w:rsid w:val="FF9FD44B"/>
    <w:rsid w:val="FFE95370"/>
    <w:rsid w:val="FFE9E19C"/>
    <w:rsid w:val="FFEBA14A"/>
    <w:rsid w:val="FFF5F6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2">
    <w:name w:val="BodyText"/>
    <w:basedOn w:val="1"/>
    <w:qFormat/>
    <w:uiPriority w:val="0"/>
    <w:pPr>
      <w:spacing w:line="360" w:lineRule="auto"/>
      <w:ind w:firstLine="560" w:firstLineChars="200"/>
      <w:textAlignment w:val="baseline"/>
    </w:pPr>
    <w:rPr>
      <w:rFonts w:ascii="宋体" w:hAnsi="宋体" w:eastAsia="宋体" w:cs="Times New Roman"/>
      <w:kern w:val="0"/>
      <w:sz w:val="28"/>
      <w:szCs w:val="22"/>
    </w:rPr>
  </w:style>
  <w:style w:type="paragraph" w:styleId="4">
    <w:name w:val="Balloon Text"/>
    <w:basedOn w:val="1"/>
    <w:link w:val="16"/>
    <w:qFormat/>
    <w:uiPriority w:val="0"/>
    <w:rPr>
      <w:sz w:val="18"/>
      <w:szCs w:val="18"/>
    </w:rPr>
  </w:style>
  <w:style w:type="paragraph" w:styleId="5">
    <w:name w:val="footer"/>
    <w:basedOn w:val="1"/>
    <w:link w:val="15"/>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Body Text First Indent 2"/>
    <w:basedOn w:val="1"/>
    <w:next w:val="1"/>
    <w:unhideWhenUsed/>
    <w:qFormat/>
    <w:uiPriority w:val="99"/>
    <w:pPr>
      <w:ind w:firstLine="420" w:firstLineChars="200"/>
    </w:pPr>
    <w:rPr>
      <w:rFonts w:ascii="Calibri" w:hAnsi="Calibri" w:eastAsia="宋体" w:cs="Times New Roman"/>
      <w:szCs w:val="21"/>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正文缩进1"/>
    <w:basedOn w:val="1"/>
    <w:qFormat/>
    <w:uiPriority w:val="0"/>
    <w:pPr>
      <w:ind w:firstLine="420" w:firstLineChars="200"/>
    </w:pPr>
    <w:rPr>
      <w:rFonts w:ascii="Times New Roman" w:hAnsi="Times New Roman" w:eastAsia="宋体" w:cs="Times New Roman"/>
    </w:rPr>
  </w:style>
  <w:style w:type="character" w:customStyle="1" w:styleId="15">
    <w:name w:val="页脚 字符"/>
    <w:basedOn w:val="11"/>
    <w:link w:val="5"/>
    <w:qFormat/>
    <w:uiPriority w:val="99"/>
    <w:rPr>
      <w:rFonts w:asciiTheme="minorHAnsi" w:hAnsiTheme="minorHAnsi" w:eastAsiaTheme="minorEastAsia" w:cstheme="minorBidi"/>
      <w:kern w:val="2"/>
      <w:sz w:val="18"/>
      <w:szCs w:val="24"/>
    </w:rPr>
  </w:style>
  <w:style w:type="character" w:customStyle="1" w:styleId="16">
    <w:name w:val="批注框文本 字符"/>
    <w:basedOn w:val="11"/>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4915</Words>
  <Characters>4951</Characters>
  <Lines>142</Lines>
  <Paragraphs>40</Paragraphs>
  <TotalTime>6</TotalTime>
  <ScaleCrop>false</ScaleCrop>
  <LinksUpToDate>false</LinksUpToDate>
  <CharactersWithSpaces>4964</CharactersWithSpaces>
  <Application>WPS Office_11.8.2.12219_F1E327BC-269C-435d-A152-05C5408002CA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2024-07-18T00:34:00Z</dcterms:created>
  <dc:creator>123</dc:creator>
  <cp:lastModifiedBy>uos</cp:lastModifiedBy>
  <cp:lastPrinted>2025-02-28T16:28:00Z</cp:lastPrinted>
  <dcterms:modified xsi:type="dcterms:W3CDTF">2025-05-15T08:25:32Z</dcterms:modified>
  <dc:title>海南省将健康融入所有政策实施方案</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2052-11.8.2.12219</vt:lpwstr>
  </property>
  <property fmtid="{D5CDD505-2E9C-101B-9397-08002B2CF9AE}" pid="3" name="ICV">
    <vt:lpwstr>88B1F1771A95EB597C342568499A5D45</vt:lpwstr>
  </property>
  <property fmtid="{D5CDD505-2E9C-101B-9397-08002B2CF9AE}" pid="4" name="KSOTemplateDocerSaveRecord">
    <vt:lpwstr>eyJoZGlkIjoiN2YzNjBkOTgyNWQ1YTMxYzM3MzMwNWFiODNmOWIzYWMiLCJ1c2VySWQiOiI0MTg3MjQ2NTcifQ==</vt:lpwstr>
  </property>
</Properties>
</file>