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4F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color w:val="000000"/>
          <w:kern w:val="2"/>
          <w:sz w:val="44"/>
          <w:szCs w:val="44"/>
          <w:lang w:val="en-US" w:eastAsia="zh-CN" w:bidi="ar"/>
        </w:rPr>
      </w:pPr>
    </w:p>
    <w:p w14:paraId="3A510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color w:val="000000"/>
          <w:kern w:val="2"/>
          <w:sz w:val="44"/>
          <w:szCs w:val="44"/>
          <w:lang w:val="en-US" w:eastAsia="zh-CN" w:bidi="ar"/>
        </w:rPr>
      </w:pPr>
      <w:r>
        <w:rPr>
          <w:rFonts w:hint="eastAsia" w:ascii="Times New Roman" w:hAnsi="Times New Roman" w:eastAsia="方正小标宋简体" w:cs="方正小标宋简体"/>
          <w:color w:val="000000"/>
          <w:kern w:val="2"/>
          <w:sz w:val="44"/>
          <w:szCs w:val="44"/>
          <w:lang w:val="en-US" w:eastAsia="zh-CN" w:bidi="ar"/>
        </w:rPr>
        <w:t>顺德区镇街蚊媒传染病流调指挥分中心</w:t>
      </w:r>
    </w:p>
    <w:p w14:paraId="6A59E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Times New Roman" w:hAnsi="Times New Roman" w:eastAsia="方正小标宋简体" w:cs="方正小标宋简体"/>
          <w:color w:val="000000"/>
          <w:kern w:val="2"/>
          <w:sz w:val="44"/>
          <w:szCs w:val="44"/>
          <w:lang w:val="en-US" w:eastAsia="zh-CN" w:bidi="ar"/>
        </w:rPr>
      </w:pPr>
      <w:r>
        <w:rPr>
          <w:rFonts w:hint="eastAsia" w:ascii="Times New Roman" w:hAnsi="Times New Roman" w:eastAsia="方正小标宋简体" w:cs="方正小标宋简体"/>
          <w:color w:val="000000"/>
          <w:kern w:val="2"/>
          <w:sz w:val="44"/>
          <w:szCs w:val="44"/>
          <w:lang w:val="en-US" w:eastAsia="zh-CN" w:bidi="ar"/>
        </w:rPr>
        <w:t>规范化、标准化建设指引</w:t>
      </w:r>
    </w:p>
    <w:p w14:paraId="6A2A7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Times New Roman" w:hAnsi="Times New Roman" w:eastAsia="方正小标宋简体" w:cs="方正小标宋简体"/>
          <w:color w:val="000000"/>
          <w:kern w:val="2"/>
          <w:sz w:val="44"/>
          <w:szCs w:val="44"/>
          <w:lang w:val="en-US" w:eastAsia="zh-CN" w:bidi="ar"/>
        </w:rPr>
      </w:pPr>
    </w:p>
    <w:p w14:paraId="71F4B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为有效应对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基孔肯雅热等蚊媒传染病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疫情，根据《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基孔肯雅热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预防控制技术指南（2025年版）》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等文件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要求，结合近期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我区及周边地区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疫情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形势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，特制定本指引。目的在于指导各镇街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规范化、标准化建设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流调指挥分中心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高效开展流行病学调查、风险研判、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现场处置、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消杀指导等工作，坚决防范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基孔肯雅热等蚊媒传染病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疫情的蔓延与传播。</w:t>
      </w:r>
    </w:p>
    <w:p w14:paraId="642BB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一、总体原则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​</w:t>
      </w:r>
    </w:p>
    <w:p w14:paraId="1D070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（一）坚持统一领导。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在区指挥部统一领导下开展工作，严格执行区指挥部决策部署，确保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区、镇、村各级在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流调、处置、消杀等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各个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环节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的工作上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同频同步，形成“上下联动、分级负责”的工作格局。​</w:t>
      </w:r>
    </w:p>
    <w:p w14:paraId="5B804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（二）坚持“三公（工）”协同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沿用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公卫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、公安、工信“三公（工）”协同机制，明确各部门职责分工，强化信息共享、资源互补，提升流调溯源效率与精准度。​</w:t>
      </w:r>
    </w:p>
    <w:p w14:paraId="06980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（三）坚持精准施策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将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区镇联动、部门协同、信息共享、质控指导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融入流调工作全流程，聚焦病例轨迹、涉疫场所、蚊媒密度等关键要素，精准锁定风险点，科学制定防控措施，避免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一刀切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。​</w:t>
      </w:r>
    </w:p>
    <w:p w14:paraId="02FA1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（四）坚持闭环管理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建立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流调-研判-处置-消杀-评估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闭环工作机制，对新增病例快速响应，对涉疫区域及时处置，对防控效果动态评估，坚决快速控制疫情扩散。</w:t>
      </w:r>
    </w:p>
    <w:p w14:paraId="0A36E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OLE_LINK1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二、组织架构</w:t>
      </w:r>
      <w:bookmarkEnd w:id="0"/>
    </w:p>
    <w:p w14:paraId="6BA69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各镇街流调指挥分中心（以下简称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流调分中心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）原则上设立于镇人民政府（街道办事处），实行多部门合署办公，成员单位包括镇政府、区卫生健康局、区疾病预防控制中心、镇卫生健康办公室、镇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街健共体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及公安部门，按需动态调整人员配置。流调分中心下设6个专项工作组，具体设置及职责如下：​</w:t>
      </w:r>
    </w:p>
    <w:p w14:paraId="18165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（一）综合管理组（</w:t>
      </w:r>
      <w:r>
        <w:rPr>
          <w:rFonts w:hint="eastAsia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-</w:t>
      </w:r>
      <w:r>
        <w:rPr>
          <w:rFonts w:hint="eastAsia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4</w:t>
      </w: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人）。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统筹协调流调分中心日常运转，包括人员调度、后勤保障（食宿、车辆安排等）、会议组织、跨部门沟通衔接；跟踪各组工作进度，督促任务落实；汇总各组工作台账，协调解决工作中的堵点难点问题</w:t>
      </w:r>
    </w:p>
    <w:p w14:paraId="43109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（二）信息管理组（</w:t>
      </w:r>
      <w:r>
        <w:rPr>
          <w:rFonts w:hint="eastAsia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-</w:t>
      </w:r>
      <w:r>
        <w:rPr>
          <w:rFonts w:hint="eastAsia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人）。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负责组间信息流转与共享，确保数据传递及时准确；撰写每日工作简报、阶段性工作总结，按规定时限向区蚊媒传染病疫情防控指挥部（以下简称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区指挥部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）、镇政府报送信息；整理归档流调报告、消杀记录、监测数据等各类工作资料，建立规范化信息台账。</w:t>
      </w:r>
    </w:p>
    <w:p w14:paraId="4D142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（三）后台流调组（不少于8人，含公安部门）。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对所有确诊及疑似病例开展全面流行病学调查，核实病例基本信息、诊疗情况、活动轨迹、暴露史、叮咬史及共同暴露者情况；联合公安部门运用大数据手段核查轨迹真实性，追溯可能得感染来源；梳理病例被蚊子叮咬的地点特征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形成“一人一档”流调信息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。</w:t>
      </w:r>
    </w:p>
    <w:p w14:paraId="133B26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（四）现场流调组（不少于</w:t>
      </w:r>
      <w:r>
        <w:rPr>
          <w:rFonts w:hint="eastAsia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15</w:t>
      </w: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人，可根据疫情规模动态增配）。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根据后台流调信息，对病例居住地、工作地、活动场所等涉疫区域开展现场核实，排查风险点（如孳生地分布、人员流动情况等）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结合实际需要，联合公安部门开展现场调查工作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；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适时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开展BI和ADI等蚊媒密度监测，收集和梳理蚊媒监测数据，及时发现蚊媒隐患风险点；科学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指导村居落实精准防控措施（如入户排查、健康监测等）；全面收集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和整理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现场资料，反馈至分析研判组支撑风险评估。</w:t>
      </w:r>
    </w:p>
    <w:p w14:paraId="762098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43" w:firstLineChars="200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（五）分析研判组（2-</w:t>
      </w:r>
      <w:r>
        <w:rPr>
          <w:rFonts w:hint="eastAsia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3</w:t>
      </w: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人）。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整合个案流调、蚊媒监测、防控措施落实情况等数据，分析全镇疫情特征、发展趋势及防控薄弱环节；研判新发疫点和重点防控区域，提出针对性防控建议；编写分析研判报告，定期向区指挥部和镇主要领导汇报工作，提出研判建议。</w:t>
      </w:r>
    </w:p>
    <w:p w14:paraId="70936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楷体_GB2312" w:cs="Times New Roman"/>
          <w:b/>
          <w:bCs/>
          <w:sz w:val="32"/>
          <w:szCs w:val="32"/>
          <w:lang w:val="en-US" w:eastAsia="zh-CN"/>
        </w:rPr>
        <w:t>（六）消杀指导组（2-4人）。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根据后台流调及现场核查结果，明确消杀重点区域与优先级；研究制定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一区域一策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消杀方案（含消杀路径、消杀频次等）；对村居消杀工作开展抽样质控，评估消杀效果；指导村居开展孳生地清理，培训消杀人员规范操作。</w:t>
      </w:r>
    </w:p>
    <w:p w14:paraId="0A4F1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三、工作内容</w:t>
      </w:r>
    </w:p>
    <w:p w14:paraId="1DA90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（一）每日疫情分析研判。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每日整合个案流调数据、蚊媒监测数据（BI、ADI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等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）、村居防控措施落实情况等信息，分析疫情传播链、流行特征及发展趋势；重点研判新发疫点的传播风险、重点防控区域的管控漏洞，识别防控薄弱环节，形成针对性防控建议，纳入每日工作简报。​</w:t>
      </w:r>
    </w:p>
    <w:p w14:paraId="747C3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（二）个案后台流调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核实病例姓名、身份证号、现住址、有效联系方式；确认病例症状出现时间、具体症状（如发热、关节痛等）、就诊时间及医疗机构、住院情况（住院日期、医院名称）；排查同住人员信息，包括与病例关系、近12天健康状况（是否出现不适症状、症状时间及类型）、联系方式。详细记录病例发病前12天活动轨迹，重点梳理病例长时间停留并有传播风险的场所（包括居住地、工作地点以及城中村、建筑工地、公园、学校、市场、医院、旅游景点等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联合公安部门核实轨迹真实性，分析感染来源及蚊子叮咬地点特征；按照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一例一案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要求整理流调信息，形成个案流调简讯，每日汇总后及时反馈至区流调指挥中心。</w:t>
      </w:r>
    </w:p>
    <w:p w14:paraId="02D66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（三）现场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流调</w:t>
      </w: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及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处置。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督促镇街、村居严格执行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1212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处置机制：1天内完成风险区域划定并启动灭蚊工作（镇街牵头，村居落实）；2天内完成核心区入户调查（排查同住人员及周边居民健康状况）；1天内完成核心区全覆盖成蚊杀灭（确保3天内成蚊密度ADI≤2）；2天内控制伊蚊幼虫密度（确保2天内幼虫密度BI＜5、5天内BI＜2）。对病例居住地、工作地及长时间逗留地开展现场考察，评估成蚊密度、孳生地清理效果、人员流动情况，结合后台流调数据综合研判风险等级，调整防控措施。</w:t>
      </w:r>
    </w:p>
    <w:p w14:paraId="6C9F4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（四）指导成蚊消杀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根据病例轨迹及现场核查结果，划定消杀区域，制定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一区域一策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消杀方案：明确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消杀路径、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消杀频次、药剂类型、作业方式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等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；指导村居消杀人员规范操作，做好个人防护；消杀后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及时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开展蚊媒密度监测，评估消杀效果，若未达标则重新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完善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方案并补杀。</w:t>
      </w:r>
    </w:p>
    <w:p w14:paraId="6271E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（五）重点区域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分析研判。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每日梳理辖区一类村居（重点村居）、重点区域防控工作落实情况，收集重点区域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病例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分布图；督促重点村居强化落实防控措施，认真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开展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常态化爱国卫生运动，持续巩固防控成效。对连续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多天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蚊媒密度超标的区域，提请镇政府约谈村居负责人，限期整改。​</w:t>
      </w:r>
    </w:p>
    <w:p w14:paraId="1ECFB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（六）蚊媒密度监测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协调区级蚊媒监测评估质控队员、镇街健共体人员及村居工作人员，组建监测队伍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按照规范开展BI、ADI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等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监测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每日收集、梳理监测数据，分析蚊媒密度变化趋势，及时发现蚊媒隐患风险点。​</w:t>
      </w:r>
    </w:p>
    <w:p w14:paraId="62B6C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（七）政策传达与专项协作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及时传达区指挥部的防控策略、工作要求及最新政策文件，组织流调分中心各组及村居工作人员学习；配合区指挥部、区卫生健康局开展专项工作（如蚊媒防控专项检查、疫情应急演练等）；协调镇街各部门落实防控任务，确保专项工作按时完成。</w:t>
      </w:r>
    </w:p>
    <w:p w14:paraId="027D4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（八）基层培训与任务落实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定期组织村居工作人员开展培训，内容包括入户调查技巧、孳生地清理标准、成蚊消杀规范及质控方法；通过“以干代训”方式带教村居人员，提升基层防控能力；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认真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完成区指挥部、驻点局领导及上级交办的其他工作。</w:t>
      </w:r>
    </w:p>
    <w:p w14:paraId="7B4CE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bookmarkStart w:id="1" w:name="OLE_LINK2"/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四、工作要求</w:t>
      </w:r>
      <w:bookmarkEnd w:id="1"/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​</w:t>
      </w:r>
    </w:p>
    <w:p w14:paraId="750D821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（一）及时高效流调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原则上，对新增个案的流调要求日产日清。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接到新增个案报告后，各镇街流调分中心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要在平均2小时内完成个案流行病学调查，并于完成流调后1小时内填写区镇街联合流调在线表，确保填写信息无误</w:t>
      </w:r>
      <w:r>
        <w:rPr>
          <w:rFonts w:hint="default" w:ascii="Times New Roman" w:hAnsi="Times New Roman" w:eastAsia="仿宋" w:cs="Times New Roman"/>
          <w:sz w:val="32"/>
          <w:szCs w:val="32"/>
          <w:highlight w:val="none"/>
          <w:lang w:val="en-US" w:eastAsia="zh-CN"/>
        </w:rPr>
        <w:t>。</w:t>
      </w:r>
    </w:p>
    <w:p w14:paraId="3B2D2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二</w:t>
      </w: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）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落实“</w:t>
      </w: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三重核查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”。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对于每例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新增个案，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必须严格落实“电话+公安+现场流调”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三重核查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。特别是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不配合调查的患者或重点个案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，尽快提请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公安部门启动大数据轨迹核查，确保流调无遗漏。</w:t>
      </w:r>
    </w:p>
    <w:p w14:paraId="58070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（三）联动消杀与孳生地清理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按照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边流调、边处置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”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原则，流调分中心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及时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将病例居住地、工作地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、活动地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信息通报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现场处置队伍及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镇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村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消杀队伍，立即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同步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开展成蚊消杀与孳生地清理。​​</w:t>
      </w:r>
    </w:p>
    <w:p w14:paraId="06831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（四）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高度重视外溢个案。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针对外地通报的外溢病例，后台流调组需在接报后2小时内启动个案深度调查，查清病例在本镇的活动轨迹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及离开本镇原因，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倒查本地疫情防控薄弱环节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（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如</w:t>
      </w:r>
      <w:r>
        <w:rPr>
          <w:rFonts w:hint="eastAsia" w:ascii="仿宋_GB2312" w:hAnsi="仿宋_GB2312" w:eastAsia="仿宋_GB2312" w:cs="仿宋_GB2312"/>
          <w:color w:val="auto"/>
          <w:sz w:val="32"/>
          <w:szCs w:val="40"/>
          <w:lang w:val="en-US" w:eastAsia="zh-CN"/>
        </w:rPr>
        <w:t>医疗机构病例管控、村居动员引导等方面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）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，形成问题清单并推动整改，防止疫情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外溢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扩散。</w:t>
      </w:r>
    </w:p>
    <w:p w14:paraId="4E34F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五</w:t>
      </w: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）强化应急值守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流调分中心需严格执行24小时值班制度，确保值班人员在岗在位，通信设备畅通；每日安排后台流调组、现场流调组、消杀指导组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、分析研判组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骨干人员备勤，接到病例报告后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迅速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响应，保障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防控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工作不间断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</w:p>
    <w:p w14:paraId="719FB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</w:t>
      </w:r>
      <w:r>
        <w:rPr>
          <w:rFonts w:hint="default" w:ascii="黑体" w:hAnsi="黑体" w:eastAsia="黑体" w:cs="黑体"/>
          <w:sz w:val="32"/>
          <w:szCs w:val="32"/>
          <w:lang w:val="en-US" w:eastAsia="zh-CN"/>
        </w:rPr>
        <w:t>、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保障措施</w:t>
      </w:r>
    </w:p>
    <w:p w14:paraId="702E8CF5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（一）工作预案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各镇街制定流调分中心启用工作预案，明确启动条件、人员组成、职责分工；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一旦启动应急响应，根据疫情防控需要分梯队分批次组织人员进驻流调中心。</w:t>
      </w:r>
    </w:p>
    <w:p w14:paraId="3895FEAB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（二）保障场地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办公场所需固定，原则上可容纳不少于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30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人集中办公；配套电子显示屏（或电视），用于展示疫情数据、防控地图；确保网络信号顺畅，满足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日常工作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需求。</w:t>
      </w: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​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 xml:space="preserve">  </w:t>
      </w:r>
    </w:p>
    <w:p w14:paraId="0A43D964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（三）划分布局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按功能划分区域，设置综合管理区、信息处理区、流调工作区、研判区及物资储备区，各区域相对独立、标识清晰，便于协同工作。​​</w:t>
      </w:r>
    </w:p>
    <w:p w14:paraId="0A952F1E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（四）备足物资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按实际进驻人员数量准备物资，具体包括：电脑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打印机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WiFi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U盘（加密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）等信息设备；应急包、手电筒、气雾罐、苏云金、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现场调查记录表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等现场处置用品；驱蚊液、蚊拍水、防护口罩、冰袖、草帽等防护用品；以及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办公用品（笔、笔记本、文件夹等）、生活用品（饮用水、应急食品、折叠床等）、公务车辆（2-3辆，用于现场流调、物资运输）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等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后勤保障物资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​</w:t>
      </w:r>
    </w:p>
    <w:p w14:paraId="7064243C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（五）经费保障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做好流调中心建设、启用和运转，以及工作人员日常办公、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餐饮、休息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、车辆等经费保障。​</w:t>
      </w:r>
    </w:p>
    <w:p w14:paraId="41FD6FA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六、其它管理要求</w:t>
      </w:r>
    </w:p>
    <w:p w14:paraId="763478D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（一）</w:t>
      </w: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纪律要求。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队员要严格遵守集中办公的各项规定和纪律，服从对伍的安排和管理，服从大局，团结队友，不搞个人主义。</w:t>
      </w:r>
    </w:p>
    <w:p w14:paraId="0C9E843D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（二）</w:t>
      </w: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信息安全。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所有人均要保证信息安全，调查资料可通过移动硬盘或粤政易传递，禁止通过微信、QQ、私人邮箱等其他社交平台传送。敏感信息要加设密码，离开座位休息时，应及时关闭办公电脑。所有队员不得在微博、朋友圈等社交平台发布与本次工作有关的内容。</w:t>
      </w:r>
    </w:p>
    <w:p w14:paraId="1B379BB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（三）</w:t>
      </w:r>
      <w:r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  <w:t>人身安全。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队员外出调查时，要遵守交通规则，注意交通安全。室内集中办公时，禁止抽烟，水杯要拧紧杯</w:t>
      </w:r>
      <w:bookmarkStart w:id="2" w:name="_GoBack"/>
      <w:bookmarkEnd w:id="2"/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盖，装有水的一次性杯要放好，避免他人碰倒，防火防漏电。提高防盗意识，保障个人财物安全。</w:t>
      </w:r>
    </w:p>
    <w:p w14:paraId="64353A57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 w14:paraId="051BAAE6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附件：镇街流调指挥分中心工作流程图</w:t>
      </w:r>
    </w:p>
    <w:p w14:paraId="7118C077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420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-2172335</wp:posOffset>
            </wp:positionH>
            <wp:positionV relativeFrom="paragraph">
              <wp:posOffset>216535</wp:posOffset>
            </wp:positionV>
            <wp:extent cx="9352280" cy="7949565"/>
            <wp:effectExtent l="0" t="0" r="1270" b="3810"/>
            <wp:wrapNone/>
            <wp:docPr id="1" name="图片 1" descr="绘图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绘图1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352280" cy="794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70582F3-CA8C-4BC5-92D5-E7A869E6506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仿宋简体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D2B67EC-4A6E-4CA0-BB3D-4C40A6535DEC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36A931EC-3F3A-4FBA-B830-D74353308A5C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7576680F-0F70-4520-AD04-A0E90A65B471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58E87691-964D-4E7D-8EAF-B58371AC84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C3A80"/>
    <w:rsid w:val="1533713E"/>
    <w:rsid w:val="301D3C7A"/>
    <w:rsid w:val="3D493A06"/>
    <w:rsid w:val="3E95397E"/>
    <w:rsid w:val="41B24687"/>
    <w:rsid w:val="4C2F3BAA"/>
    <w:rsid w:val="4C692625"/>
    <w:rsid w:val="509A78F7"/>
    <w:rsid w:val="67554B17"/>
    <w:rsid w:val="6B092CA7"/>
    <w:rsid w:val="720F46B8"/>
    <w:rsid w:val="78354B38"/>
    <w:rsid w:val="7C267804"/>
    <w:rsid w:val="7DA27AAD"/>
    <w:rsid w:val="7FED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99"/>
    <w:pPr>
      <w:spacing w:after="120"/>
    </w:pPr>
  </w:style>
  <w:style w:type="paragraph" w:styleId="3">
    <w:name w:val="Title"/>
    <w:basedOn w:val="1"/>
    <w:next w:val="1"/>
    <w:qFormat/>
    <w:uiPriority w:val="0"/>
    <w:pPr>
      <w:keepNext w:val="0"/>
      <w:keepLines w:val="0"/>
      <w:widowControl w:val="0"/>
      <w:suppressLineNumbers w:val="0"/>
      <w:spacing w:before="240" w:beforeAutospacing="0" w:after="60" w:afterAutospacing="0"/>
      <w:ind w:firstLineChars="0"/>
      <w:jc w:val="center"/>
      <w:textAlignment w:val="baseline"/>
    </w:pPr>
    <w:rPr>
      <w:rFonts w:hint="default" w:ascii="Cambria" w:hAnsi="Cambria" w:eastAsia="宋体" w:cs="Times New Roman"/>
      <w:b/>
      <w:kern w:val="2"/>
      <w:sz w:val="32"/>
      <w:szCs w:val="32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纯文本1"/>
    <w:basedOn w:val="1"/>
    <w:qFormat/>
    <w:uiPriority w:val="0"/>
    <w:rPr>
      <w:rFonts w:ascii="宋体" w:hAnsi="宋体" w:eastAsia="方正仿宋简体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3910</Words>
  <Characters>3954</Characters>
  <Lines>0</Lines>
  <Paragraphs>0</Paragraphs>
  <TotalTime>0</TotalTime>
  <ScaleCrop>false</ScaleCrop>
  <LinksUpToDate>false</LinksUpToDate>
  <CharactersWithSpaces>3956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2025-09-30T06:49:00Z</dcterms:created>
  <dc:creator>HP</dc:creator>
  <cp:lastModifiedBy>张涛</cp:lastModifiedBy>
  <dcterms:modified xsi:type="dcterms:W3CDTF">2025-10-04T04:44:45Z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eyJoZGlkIjoiYjJkN2QyZjFkYjk5MzEyMmQ5MzM4NDNjYzVlMWI3OTAiLCJ1c2VySWQiOiIxNjY3MzY0MjAyIn0=</vt:lpwstr>
  </property>
  <property fmtid="{D5CDD505-2E9C-101B-9397-08002B2CF9AE}" pid="4" name="ICV">
    <vt:lpwstr>9F66C219531C46B6BDA735AC98EAFD56_12</vt:lpwstr>
  </property>
</Properties>
</file>