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Xe6d28bd7d62a5271ab69c2ae6e06d620b259030"/>
    <w:p>
      <w:pPr>
        <w:pStyle w:val="Heading1"/>
      </w:pPr>
      <w:r>
        <w:t xml:space="preserve">DFIR PROFESSIONAL INVESTIGATION &amp; INCIDENT RESPONSE TEMPLATE SUITE</w:t>
      </w:r>
    </w:p>
    <w:p>
      <w:pPr>
        <w:pStyle w:val="FirstParagraph"/>
      </w:pPr>
      <w:r>
        <w:rPr>
          <w:b/>
          <w:bCs/>
        </w:rPr>
        <w:t xml:space="preserve">Master Product Architecture, Taxonomy &amp; Commercial Blueprint</w:t>
      </w:r>
      <w:r>
        <w:br/>
      </w:r>
      <w:r>
        <w:rPr>
          <w:b/>
          <w:bCs/>
        </w:rPr>
        <w:t xml:space="preserve">Version:</w:t>
      </w:r>
      <w:r>
        <w:t xml:space="preserve"> </w:t>
      </w:r>
      <w:r>
        <w:t xml:space="preserve">1.0.0 |</w:t>
      </w:r>
      <w:r>
        <w:t xml:space="preserve"> </w:t>
      </w:r>
      <w:r>
        <w:rPr>
          <w:b/>
          <w:bCs/>
        </w:rPr>
        <w:t xml:space="preserve">Author/Publisher:</w:t>
      </w:r>
      <w:r>
        <w:t xml:space="preserve"> </w:t>
      </w:r>
      <w:r>
        <w:t xml:space="preserve">[INSERT_LAB_OR_BRAND_NAME]</w:t>
      </w:r>
      <w:r>
        <w:br/>
      </w:r>
      <w:r>
        <w:rPr>
          <w:b/>
          <w:bCs/>
        </w:rPr>
        <w:t xml:space="preserve">Target Standards:</w:t>
      </w:r>
      <w:r>
        <w:t xml:space="preserve"> </w:t>
      </w:r>
      <w:r>
        <w:t xml:space="preserve">NIST SP 800-86, NIST SP 800-61r3, ISO/IEC 27037, ISO/IEC 27042, Federal Rules of Evidence (FRE 702 &amp; 901)</w:t>
      </w:r>
    </w:p>
    <w:p>
      <w:r>
        <w:pict>
          <v:rect style="width:0;height:1.5pt" o:hralign="center" o:hrstd="t" o:hr="t"/>
        </w:pict>
      </w:r>
    </w:p>
    <w:bookmarkStart w:id="10" w:name="Xca5a9202050086f3ba3a16d417dad77fed5374a"/>
    <w:p>
      <w:pPr>
        <w:pStyle w:val="Heading2"/>
      </w:pPr>
      <w:r>
        <w:t xml:space="preserve">1. PRODUCT SUMMARY &amp; COMMERCIAL VALUE PROPOSITION</w:t>
      </w:r>
    </w:p>
    <w:p>
      <w:pPr>
        <w:pStyle w:val="FirstParagraph"/>
      </w:pPr>
      <w:r>
        <w:t xml:space="preserve">This toolkit is a modular, legally defensible, and operationally validated digital forensics document system. It is engineered specifically for solo DFIR practitioners, boutique cybersecurity firms, law enforcement digital forensic units (DFUs), and enterprise internal incident response/SOC teams.</w:t>
      </w:r>
    </w:p>
    <w:bookmarkStart w:id="9" w:name="core-value-drivers"/>
    <w:p>
      <w:pPr>
        <w:pStyle w:val="Heading3"/>
      </w:pPr>
      <w:r>
        <w:t xml:space="preserve">Core Value Drivers:</w:t>
      </w:r>
    </w:p>
    <w:p>
      <w:pPr>
        <w:pStyle w:val="Compact"/>
        <w:numPr>
          <w:ilvl w:val="0"/>
          <w:numId w:val="1001"/>
        </w:numPr>
      </w:pPr>
      <w:r>
        <w:rPr>
          <w:b/>
          <w:bCs/>
        </w:rPr>
        <w:t xml:space="preserve">Court Admissibility:</w:t>
      </w:r>
      <w:r>
        <w:t xml:space="preserve"> </w:t>
      </w:r>
      <w:r>
        <w:t xml:space="preserve">Structured to withstand Daubert/Frye challenges and adhere to strict FRE 702/901 expert witness thresholds.</w:t>
      </w:r>
    </w:p>
    <w:p>
      <w:pPr>
        <w:pStyle w:val="Compact"/>
        <w:numPr>
          <w:ilvl w:val="0"/>
          <w:numId w:val="1001"/>
        </w:numPr>
      </w:pPr>
      <w:r>
        <w:rPr>
          <w:b/>
          <w:bCs/>
        </w:rPr>
        <w:t xml:space="preserve">Repeatable SOPs:</w:t>
      </w:r>
      <w:r>
        <w:t xml:space="preserve"> </w:t>
      </w:r>
      <w:r>
        <w:t xml:space="preserve">Standardizes laboratory and field evidence handling under ISO/IEC 27037/27042 and NIST SP 800-86.</w:t>
      </w:r>
    </w:p>
    <w:p>
      <w:pPr>
        <w:pStyle w:val="Compact"/>
        <w:numPr>
          <w:ilvl w:val="0"/>
          <w:numId w:val="1001"/>
        </w:numPr>
      </w:pPr>
      <w:r>
        <w:rPr>
          <w:b/>
          <w:bCs/>
        </w:rPr>
        <w:t xml:space="preserve">Billable Velocity:</w:t>
      </w:r>
      <w:r>
        <w:t xml:space="preserve"> </w:t>
      </w:r>
      <w:r>
        <w:t xml:space="preserve">Cuts expert forensic report drafting time by 60–70% through pre-built technical frameworks and standardized artifact tables.</w:t>
      </w:r>
    </w:p>
    <w:p>
      <w:r>
        <w:pict>
          <v:rect style="width:0;height:1.5pt" o:hralign="center" o:hrstd="t" o:hr="t"/>
        </w:pict>
      </w:r>
    </w:p>
    <w:bookmarkEnd w:id="9"/>
    <w:bookmarkEnd w:id="10"/>
    <w:bookmarkStart w:id="11" w:name="modular-suite-inventory-suite-structure"/>
    <w:p>
      <w:pPr>
        <w:pStyle w:val="Heading2"/>
      </w:pPr>
      <w:r>
        <w:t xml:space="preserve">2. MODULAR SUITE INVENTORY &amp; SUITE STRUCTURE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Suite File Name</w:t>
            </w:r>
          </w:p>
        </w:tc>
        <w:tc>
          <w:tcPr/>
          <w:p>
            <w:pPr>
              <w:pStyle w:val="Compact"/>
              <w:jc w:val="left"/>
            </w:pPr>
            <w:r>
              <w:t xml:space="preserve">Core Modules Included</w:t>
            </w:r>
          </w:p>
        </w:tc>
        <w:tc>
          <w:tcPr/>
          <w:p>
            <w:pPr>
              <w:pStyle w:val="Compact"/>
              <w:jc w:val="left"/>
            </w:pPr>
            <w:r>
              <w:t xml:space="preserve">Applicable Standards</w:t>
            </w:r>
          </w:p>
        </w:tc>
        <w:tc>
          <w:tcPr/>
          <w:p>
            <w:pPr>
              <w:pStyle w:val="Compact"/>
              <w:jc w:val="left"/>
            </w:pPr>
            <w:r>
              <w:t xml:space="preserve">Primary Operational Focus</w:t>
            </w:r>
          </w:p>
        </w:tc>
      </w:tr>
      <w:tr>
        <w:tc>
          <w:tcPr/>
          <w:p>
            <w:pPr>
              <w:pStyle w:val="Compact"/>
              <w:jc w:val="left"/>
            </w:pPr>
            <w:r>
              <w:rPr>
                <w:rStyle w:val="VerbatimChar"/>
                <w:b/>
                <w:bCs/>
              </w:rPr>
              <w:t xml:space="preserve">00_Product_Blueprint</w:t>
            </w:r>
          </w:p>
        </w:tc>
        <w:tc>
          <w:tcPr/>
          <w:p>
            <w:pPr>
              <w:pStyle w:val="Compact"/>
              <w:jc w:val="left"/>
            </w:pPr>
            <w:r>
              <w:t xml:space="preserve">Architecture &amp; Taxonomy Blueprint</w:t>
            </w:r>
          </w:p>
        </w:tc>
        <w:tc>
          <w:tcPr/>
          <w:p>
            <w:pPr>
              <w:pStyle w:val="Compact"/>
              <w:jc w:val="left"/>
            </w:pPr>
            <w:r>
              <w:t xml:space="preserve">Product Catalog Specs</w:t>
            </w:r>
          </w:p>
        </w:tc>
        <w:tc>
          <w:tcPr/>
          <w:p>
            <w:pPr>
              <w:pStyle w:val="Compact"/>
              <w:jc w:val="left"/>
            </w:pPr>
            <w:r>
              <w:t xml:space="preserve">System architecture, standard mappings, monetization framework.</w:t>
            </w:r>
          </w:p>
        </w:tc>
      </w:tr>
      <w:tr>
        <w:tc>
          <w:tcPr/>
          <w:p>
            <w:pPr>
              <w:pStyle w:val="Compact"/>
              <w:jc w:val="left"/>
            </w:pPr>
            <w:r>
              <w:rPr>
                <w:rStyle w:val="VerbatimChar"/>
                <w:b/>
                <w:bCs/>
              </w:rPr>
              <w:t xml:space="preserve">01_Master_DFIR_Investigation_Report</w:t>
            </w:r>
          </w:p>
        </w:tc>
        <w:tc>
          <w:tcPr/>
          <w:p>
            <w:pPr>
              <w:pStyle w:val="Compact"/>
              <w:jc w:val="left"/>
            </w:pPr>
            <w:r>
              <w:t xml:space="preserve">Forensic Examination Final Report &amp; Executive Summary</w:t>
            </w:r>
          </w:p>
        </w:tc>
        <w:tc>
          <w:tcPr/>
          <w:p>
            <w:pPr>
              <w:pStyle w:val="Compact"/>
              <w:jc w:val="left"/>
            </w:pPr>
            <w:r>
              <w:t xml:space="preserve">NIST SP 800-86, FRE 702/901</w:t>
            </w:r>
          </w:p>
        </w:tc>
        <w:tc>
          <w:tcPr/>
          <w:p>
            <w:pPr>
              <w:pStyle w:val="Compact"/>
              <w:jc w:val="left"/>
            </w:pPr>
            <w:r>
              <w:t xml:space="preserve">Complete billable deliverable covering technical timeline, tooling, and findings.</w:t>
            </w:r>
          </w:p>
        </w:tc>
      </w:tr>
      <w:tr>
        <w:tc>
          <w:tcPr/>
          <w:p>
            <w:pPr>
              <w:pStyle w:val="Compact"/>
              <w:jc w:val="left"/>
            </w:pPr>
            <w:r>
              <w:rPr>
                <w:rStyle w:val="VerbatimChar"/>
                <w:b/>
                <w:bCs/>
              </w:rPr>
              <w:t xml:space="preserve">02_Intake_and_Chain_of_Custody_Suite</w:t>
            </w:r>
          </w:p>
        </w:tc>
        <w:tc>
          <w:tcPr/>
          <w:p>
            <w:pPr>
              <w:pStyle w:val="Compact"/>
              <w:jc w:val="left"/>
            </w:pPr>
            <w:r>
              <w:t xml:space="preserve">Master CoC, Acquisition Form, Evidence Return, Consent</w:t>
            </w:r>
          </w:p>
        </w:tc>
        <w:tc>
          <w:tcPr/>
          <w:p>
            <w:pPr>
              <w:pStyle w:val="Compact"/>
              <w:jc w:val="left"/>
            </w:pPr>
            <w:r>
              <w:t xml:space="preserve">ISO/IEC 27037, NIST SP 800-88</w:t>
            </w:r>
          </w:p>
        </w:tc>
        <w:tc>
          <w:tcPr/>
          <w:p>
            <w:pPr>
              <w:pStyle w:val="Compact"/>
              <w:jc w:val="left"/>
            </w:pPr>
            <w:r>
              <w:t xml:space="preserve">Laboratory/field evidence custody tracking, physical assessment, write-block hashing.</w:t>
            </w:r>
          </w:p>
        </w:tc>
      </w:tr>
      <w:tr>
        <w:tc>
          <w:tcPr/>
          <w:p>
            <w:pPr>
              <w:pStyle w:val="Compact"/>
              <w:jc w:val="left"/>
            </w:pPr>
            <w:r>
              <w:rPr>
                <w:rStyle w:val="VerbatimChar"/>
                <w:b/>
                <w:bCs/>
              </w:rPr>
              <w:t xml:space="preserve">03_A_Ransomware_Playbook</w:t>
            </w:r>
          </w:p>
        </w:tc>
        <w:tc>
          <w:tcPr/>
          <w:p>
            <w:pPr>
              <w:pStyle w:val="Compact"/>
              <w:jc w:val="left"/>
            </w:pPr>
            <w:r>
              <w:t xml:space="preserve">Ransomware &amp; Extortion Incident Response</w:t>
            </w:r>
          </w:p>
        </w:tc>
        <w:tc>
          <w:tcPr/>
          <w:p>
            <w:pPr>
              <w:pStyle w:val="Compact"/>
              <w:jc w:val="left"/>
            </w:pPr>
            <w:r>
              <w:t xml:space="preserve">NIST SP 800-61r3, MITRE ATT&amp;CK</w:t>
            </w:r>
          </w:p>
        </w:tc>
        <w:tc>
          <w:tcPr/>
          <w:p>
            <w:pPr>
              <w:pStyle w:val="Compact"/>
              <w:jc w:val="left"/>
            </w:pPr>
            <w:r>
              <w:t xml:space="preserve">SLA matrix, host containment CLI, memory acquisition, root-cause triage.</w:t>
            </w:r>
          </w:p>
        </w:tc>
      </w:tr>
      <w:tr>
        <w:tc>
          <w:tcPr/>
          <w:p>
            <w:pPr>
              <w:pStyle w:val="Compact"/>
              <w:jc w:val="left"/>
            </w:pPr>
            <w:r>
              <w:rPr>
                <w:rStyle w:val="VerbatimChar"/>
                <w:b/>
                <w:bCs/>
              </w:rPr>
              <w:t xml:space="preserve">03_B_Insider_Threat_Playbook</w:t>
            </w:r>
          </w:p>
        </w:tc>
        <w:tc>
          <w:tcPr/>
          <w:p>
            <w:pPr>
              <w:pStyle w:val="Compact"/>
              <w:jc w:val="left"/>
            </w:pPr>
            <w:r>
              <w:t xml:space="preserve">IP Theft, USB &amp; Cloud Exfiltration</w:t>
            </w:r>
          </w:p>
        </w:tc>
        <w:tc>
          <w:tcPr/>
          <w:p>
            <w:pPr>
              <w:pStyle w:val="Compact"/>
              <w:jc w:val="left"/>
            </w:pPr>
            <w:r>
              <w:t xml:space="preserve">ISO/IEC 27042, CERT Insider Threat</w:t>
            </w:r>
          </w:p>
        </w:tc>
        <w:tc>
          <w:tcPr/>
          <w:p>
            <w:pPr>
              <w:pStyle w:val="Compact"/>
              <w:jc w:val="left"/>
            </w:pPr>
            <w:r>
              <w:t xml:space="preserve">Registry USBSTOR parsing, OneDrive/GDrive sync databases, shellbags, anti-forensics.</w:t>
            </w:r>
          </w:p>
        </w:tc>
      </w:tr>
      <w:tr>
        <w:tc>
          <w:tcPr/>
          <w:p>
            <w:pPr>
              <w:pStyle w:val="Compact"/>
              <w:jc w:val="left"/>
            </w:pPr>
            <w:r>
              <w:rPr>
                <w:rStyle w:val="VerbatimChar"/>
                <w:b/>
                <w:bCs/>
              </w:rPr>
              <w:t xml:space="preserve">03_C_Live_Triage_CheatSheet</w:t>
            </w:r>
          </w:p>
        </w:tc>
        <w:tc>
          <w:tcPr/>
          <w:p>
            <w:pPr>
              <w:pStyle w:val="Compact"/>
              <w:jc w:val="left"/>
            </w:pPr>
            <w:r>
              <w:t xml:space="preserve">Live System Volatile Triage Reference</w:t>
            </w:r>
          </w:p>
        </w:tc>
        <w:tc>
          <w:tcPr/>
          <w:p>
            <w:pPr>
              <w:pStyle w:val="Compact"/>
              <w:jc w:val="left"/>
            </w:pPr>
            <w:r>
              <w:t xml:space="preserve">RFC 3227 (Order of Volatility)</w:t>
            </w:r>
          </w:p>
        </w:tc>
        <w:tc>
          <w:tcPr/>
          <w:p>
            <w:pPr>
              <w:pStyle w:val="Compact"/>
              <w:jc w:val="left"/>
            </w:pPr>
            <w:r>
              <w:t xml:space="preserve">Volatile RAM dumping, live Windows CLI artifact extraction, power-state decisions.</w:t>
            </w:r>
          </w:p>
        </w:tc>
      </w:tr>
      <w:tr>
        <w:tc>
          <w:tcPr/>
          <w:p>
            <w:pPr>
              <w:pStyle w:val="Compact"/>
              <w:jc w:val="left"/>
            </w:pPr>
            <w:r>
              <w:rPr>
                <w:rStyle w:val="VerbatimChar"/>
                <w:b/>
                <w:bCs/>
              </w:rPr>
              <w:t xml:space="preserve">04_Legal_and_Expert_Witness_Suite</w:t>
            </w:r>
          </w:p>
        </w:tc>
        <w:tc>
          <w:tcPr/>
          <w:p>
            <w:pPr>
              <w:pStyle w:val="Compact"/>
              <w:jc w:val="left"/>
            </w:pPr>
            <w:r>
              <w:t xml:space="preserve">Court Affidavit, Cross-Exam Prep, Retainer MSA</w:t>
            </w:r>
          </w:p>
        </w:tc>
        <w:tc>
          <w:tcPr/>
          <w:p>
            <w:pPr>
              <w:pStyle w:val="Compact"/>
              <w:jc w:val="left"/>
            </w:pPr>
            <w:r>
              <w:t xml:space="preserve">FRCP Rule 26, FRE 702</w:t>
            </w:r>
          </w:p>
        </w:tc>
        <w:tc>
          <w:tcPr/>
          <w:p>
            <w:pPr>
              <w:pStyle w:val="Compact"/>
              <w:jc w:val="left"/>
            </w:pPr>
            <w:r>
              <w:t xml:space="preserve">Sworn expert declaration, Daubert preparation checklist, commercial fee agreement.</w:t>
            </w:r>
          </w:p>
        </w:tc>
      </w:tr>
    </w:tbl>
    <w:p>
      <w:r>
        <w:pict>
          <v:rect style="width:0;height:1.5pt" o:hralign="center" o:hrstd="t" o:hr="t"/>
        </w:pict>
      </w:r>
    </w:p>
    <w:bookmarkEnd w:id="11"/>
    <w:bookmarkStart w:id="15" w:name="commercial-packaging-monetization-tiers"/>
    <w:p>
      <w:pPr>
        <w:pStyle w:val="Heading2"/>
      </w:pPr>
      <w:r>
        <w:t xml:space="preserve">3. COMMERCIAL PACKAGING &amp; MONETIZATION TIERS</w:t>
      </w:r>
    </w:p>
    <w:bookmarkStart w:id="12" w:name="tier-1-the-solo-examiner-starter-kit"/>
    <w:p>
      <w:pPr>
        <w:pStyle w:val="Heading3"/>
      </w:pPr>
      <w:r>
        <w:t xml:space="preserve">Tier 1:</w:t>
      </w:r>
      <w:r>
        <w:t xml:space="preserve"> </w:t>
      </w:r>
      <w:r>
        <w:t xml:space="preserve">“The Solo Examiner Starter Kit”</w:t>
      </w:r>
    </w:p>
    <w:p>
      <w:pPr>
        <w:pStyle w:val="Compact"/>
        <w:numPr>
          <w:ilvl w:val="0"/>
          <w:numId w:val="1002"/>
        </w:numPr>
      </w:pPr>
      <w:r>
        <w:rPr>
          <w:b/>
          <w:bCs/>
        </w:rPr>
        <w:t xml:space="preserve">Inclusions:</w:t>
      </w:r>
      <w:r>
        <w:t xml:space="preserve"> </w:t>
      </w:r>
      <w:r>
        <w:rPr>
          <w:rStyle w:val="VerbatimChar"/>
        </w:rPr>
        <w:t xml:space="preserve">01_Master_DFIR_Investigation_Report</w:t>
      </w:r>
      <w:r>
        <w:t xml:space="preserve">,</w:t>
      </w:r>
      <w:r>
        <w:t xml:space="preserve"> </w:t>
      </w:r>
      <w:r>
        <w:rPr>
          <w:rStyle w:val="VerbatimChar"/>
        </w:rPr>
        <w:t xml:space="preserve">02_Intake_and_Chain_of_Custody_Suite</w:t>
      </w:r>
      <w:r>
        <w:t xml:space="preserve">.</w:t>
      </w:r>
    </w:p>
    <w:p>
      <w:pPr>
        <w:pStyle w:val="Compact"/>
        <w:numPr>
          <w:ilvl w:val="0"/>
          <w:numId w:val="1002"/>
        </w:numPr>
      </w:pPr>
      <w:r>
        <w:rPr>
          <w:b/>
          <w:bCs/>
        </w:rPr>
        <w:t xml:space="preserve">Target Price:</w:t>
      </w:r>
      <w:r>
        <w:t xml:space="preserve"> </w:t>
      </w:r>
      <w:r>
        <w:t xml:space="preserve">$47 – $79</w:t>
      </w:r>
    </w:p>
    <w:p>
      <w:pPr>
        <w:pStyle w:val="Compact"/>
        <w:numPr>
          <w:ilvl w:val="0"/>
          <w:numId w:val="1002"/>
        </w:numPr>
      </w:pPr>
      <w:r>
        <w:rPr>
          <w:b/>
          <w:bCs/>
        </w:rPr>
        <w:t xml:space="preserve">Format:</w:t>
      </w:r>
      <w:r>
        <w:t xml:space="preserve"> </w:t>
      </w:r>
      <w:r>
        <w:t xml:space="preserve">Universal Markdown (</w:t>
      </w:r>
      <w:r>
        <w:rPr>
          <w:rStyle w:val="VerbatimChar"/>
        </w:rPr>
        <w:t xml:space="preserve">.md</w:t>
      </w:r>
      <w:r>
        <w:t xml:space="preserve">) and Microsoft Word (</w:t>
      </w:r>
      <w:r>
        <w:rPr>
          <w:rStyle w:val="VerbatimChar"/>
        </w:rPr>
        <w:t xml:space="preserve">.docx</w:t>
      </w:r>
      <w:r>
        <w:t xml:space="preserve">).</w:t>
      </w:r>
    </w:p>
    <w:bookmarkEnd w:id="12"/>
    <w:bookmarkStart w:id="13" w:name="Xf7fcfe0f049ba4535c7afa3a0104ee5e87ae49a"/>
    <w:p>
      <w:pPr>
        <w:pStyle w:val="Heading3"/>
      </w:pPr>
      <w:r>
        <w:t xml:space="preserve">Tier 2:</w:t>
      </w:r>
      <w:r>
        <w:t xml:space="preserve"> </w:t>
      </w:r>
      <w:r>
        <w:t xml:space="preserve">“The Complete DFIR Practitioner Suite”</w:t>
      </w:r>
      <w:r>
        <w:t xml:space="preserve"> </w:t>
      </w:r>
      <w:r>
        <w:t xml:space="preserve">(Flagship)</w:t>
      </w:r>
    </w:p>
    <w:p>
      <w:pPr>
        <w:pStyle w:val="Compact"/>
        <w:numPr>
          <w:ilvl w:val="0"/>
          <w:numId w:val="1003"/>
        </w:numPr>
      </w:pPr>
      <w:r>
        <w:rPr>
          <w:b/>
          <w:bCs/>
        </w:rPr>
        <w:t xml:space="preserve">Inclusions:</w:t>
      </w:r>
      <w:r>
        <w:t xml:space="preserve"> </w:t>
      </w:r>
      <w:r>
        <w:t xml:space="preserve">Full 7-Suite System (</w:t>
      </w:r>
      <w:r>
        <w:rPr>
          <w:rStyle w:val="VerbatimChar"/>
        </w:rPr>
        <w:t xml:space="preserve">00</w:t>
      </w:r>
      <w:r>
        <w:t xml:space="preserve"> </w:t>
      </w:r>
      <w:r>
        <w:t xml:space="preserve">through</w:t>
      </w:r>
      <w:r>
        <w:t xml:space="preserve"> </w:t>
      </w:r>
      <w:r>
        <w:rPr>
          <w:rStyle w:val="VerbatimChar"/>
        </w:rPr>
        <w:t xml:space="preserve">04</w:t>
      </w:r>
      <w:r>
        <w:t xml:space="preserve">).</w:t>
      </w:r>
    </w:p>
    <w:p>
      <w:pPr>
        <w:pStyle w:val="Compact"/>
        <w:numPr>
          <w:ilvl w:val="0"/>
          <w:numId w:val="1003"/>
        </w:numPr>
      </w:pPr>
      <w:r>
        <w:rPr>
          <w:b/>
          <w:bCs/>
        </w:rPr>
        <w:t xml:space="preserve">Format:</w:t>
      </w:r>
      <w:r>
        <w:t xml:space="preserve"> </w:t>
      </w:r>
      <w:r>
        <w:t xml:space="preserve">Multi-format release bundle (</w:t>
      </w:r>
      <w:r>
        <w:rPr>
          <w:rStyle w:val="VerbatimChar"/>
        </w:rPr>
        <w:t xml:space="preserve">.md</w:t>
      </w:r>
      <w:r>
        <w:t xml:space="preserve">,</w:t>
      </w:r>
      <w:r>
        <w:t xml:space="preserve"> </w:t>
      </w:r>
      <w:r>
        <w:rPr>
          <w:rStyle w:val="VerbatimChar"/>
        </w:rPr>
        <w:t xml:space="preserve">.docx</w:t>
      </w:r>
      <w:r>
        <w:t xml:space="preserve">, print-ready</w:t>
      </w:r>
      <w:r>
        <w:t xml:space="preserve"> </w:t>
      </w:r>
      <w:r>
        <w:rPr>
          <w:rStyle w:val="VerbatimChar"/>
        </w:rPr>
        <w:t xml:space="preserve">.pdf</w:t>
      </w:r>
      <w:r>
        <w:t xml:space="preserve">).</w:t>
      </w:r>
    </w:p>
    <w:p>
      <w:pPr>
        <w:pStyle w:val="Compact"/>
        <w:numPr>
          <w:ilvl w:val="0"/>
          <w:numId w:val="1003"/>
        </w:numPr>
      </w:pPr>
      <w:r>
        <w:rPr>
          <w:b/>
          <w:bCs/>
        </w:rPr>
        <w:t xml:space="preserve">Target Price:</w:t>
      </w:r>
      <w:r>
        <w:t xml:space="preserve"> </w:t>
      </w:r>
      <w:r>
        <w:t xml:space="preserve">$149 – $249</w:t>
      </w:r>
    </w:p>
    <w:bookmarkEnd w:id="13"/>
    <w:bookmarkStart w:id="14" w:name="Xd6a95b517837403c6edfe0ed7ae2befd8ebdd60"/>
    <w:p>
      <w:pPr>
        <w:pStyle w:val="Heading3"/>
      </w:pPr>
      <w:r>
        <w:t xml:space="preserve">Tier 3:</w:t>
      </w:r>
      <w:r>
        <w:t xml:space="preserve"> </w:t>
      </w:r>
      <w:r>
        <w:t xml:space="preserve">“Enterprise / Firm Multi-Seat License”</w:t>
      </w:r>
    </w:p>
    <w:p>
      <w:pPr>
        <w:pStyle w:val="Compact"/>
        <w:numPr>
          <w:ilvl w:val="0"/>
          <w:numId w:val="1004"/>
        </w:numPr>
      </w:pPr>
      <w:r>
        <w:rPr>
          <w:b/>
          <w:bCs/>
        </w:rPr>
        <w:t xml:space="preserve">Inclusions:</w:t>
      </w:r>
      <w:r>
        <w:t xml:space="preserve"> </w:t>
      </w:r>
      <w:r>
        <w:t xml:space="preserve">Everything in Tier 2 + White-Label Commercial Rights (rebranding and internal firm-wide deployment).</w:t>
      </w:r>
    </w:p>
    <w:p>
      <w:pPr>
        <w:pStyle w:val="Compact"/>
        <w:numPr>
          <w:ilvl w:val="0"/>
          <w:numId w:val="1004"/>
        </w:numPr>
      </w:pPr>
      <w:r>
        <w:rPr>
          <w:b/>
          <w:bCs/>
        </w:rPr>
        <w:t xml:space="preserve">Target Price:</w:t>
      </w:r>
      <w:r>
        <w:t xml:space="preserve"> </w:t>
      </w:r>
      <w:r>
        <w:t xml:space="preserve">$499 – $799</w:t>
      </w:r>
    </w:p>
    <w:p>
      <w:r>
        <w:pict>
          <v:rect style="width:0;height:1.5pt" o:hralign="center" o:hrstd="t" o:hr="t"/>
        </w:pict>
      </w:r>
    </w:p>
    <w:bookmarkEnd w:id="14"/>
    <w:bookmarkEnd w:id="15"/>
    <w:bookmarkStart w:id="16" w:name="design-deployment-guidelines"/>
    <w:p>
      <w:pPr>
        <w:pStyle w:val="Heading2"/>
      </w:pPr>
      <w:r>
        <w:t xml:space="preserve">4. DESIGN &amp; DEPLOYMENT GUIDELINES</w:t>
      </w:r>
    </w:p>
    <w:p>
      <w:pPr>
        <w:pStyle w:val="Compact"/>
        <w:numPr>
          <w:ilvl w:val="0"/>
          <w:numId w:val="1005"/>
        </w:numPr>
      </w:pPr>
      <w:r>
        <w:rPr>
          <w:b/>
          <w:bCs/>
        </w:rPr>
        <w:t xml:space="preserve">Standardized Dynamic Placeholders:</w:t>
      </w:r>
      <w:r>
        <w:t xml:space="preserve"> </w:t>
      </w:r>
      <w:r>
        <w:t xml:space="preserve">All configurable inputs use uppercase bracket notation (e.g.,</w:t>
      </w:r>
      <w:r>
        <w:t xml:space="preserve"> </w:t>
      </w:r>
      <w:r>
        <w:rPr>
          <w:rStyle w:val="VerbatimChar"/>
        </w:rPr>
        <w:t xml:space="preserve">[INSERT_CASE_NUMBER]</w:t>
      </w:r>
      <w:r>
        <w:t xml:space="preserve">,</w:t>
      </w:r>
      <w:r>
        <w:t xml:space="preserve"> </w:t>
      </w:r>
      <w:r>
        <w:rPr>
          <w:rStyle w:val="VerbatimChar"/>
        </w:rPr>
        <w:t xml:space="preserve">[INSERT_EXAMINER_NAME]</w:t>
      </w:r>
      <w:r>
        <w:t xml:space="preserve">,</w:t>
      </w:r>
      <w:r>
        <w:t xml:space="preserve"> </w:t>
      </w:r>
      <w:r>
        <w:rPr>
          <w:rStyle w:val="VerbatimChar"/>
        </w:rPr>
        <w:t xml:space="preserve">[INSERT_SHA256_HASH]</w:t>
      </w:r>
      <w:r>
        <w:t xml:space="preserve">).</w:t>
      </w:r>
    </w:p>
    <w:p>
      <w:pPr>
        <w:pStyle w:val="Compact"/>
        <w:numPr>
          <w:ilvl w:val="0"/>
          <w:numId w:val="1005"/>
        </w:numPr>
      </w:pPr>
      <w:r>
        <w:rPr>
          <w:b/>
          <w:bCs/>
        </w:rPr>
        <w:t xml:space="preserve">Format Symmetry:</w:t>
      </w:r>
      <w:r>
        <w:t xml:space="preserve"> </w:t>
      </w:r>
      <w:r>
        <w:t xml:space="preserve">Every document exists across three formats: Print/Field PDF (</w:t>
      </w:r>
      <w:r>
        <w:rPr>
          <w:rStyle w:val="VerbatimChar"/>
        </w:rPr>
        <w:t xml:space="preserve">01_Print_and_Field_PDFs/</w:t>
      </w:r>
      <w:r>
        <w:t xml:space="preserve">), Editable Word Document (</w:t>
      </w:r>
      <w:r>
        <w:rPr>
          <w:rStyle w:val="VerbatimChar"/>
        </w:rPr>
        <w:t xml:space="preserve">02_Editable_Word_Docs/</w:t>
      </w:r>
      <w:r>
        <w:t xml:space="preserve">), and Markdown (</w:t>
      </w:r>
      <w:r>
        <w:rPr>
          <w:rStyle w:val="VerbatimChar"/>
        </w:rPr>
        <w:t xml:space="preserve">03_Markdown_Source/</w:t>
      </w:r>
      <w:r>
        <w:t xml:space="preserve">).</w:t>
      </w:r>
    </w:p>
    <w:p>
      <w:pPr>
        <w:pStyle w:val="Compact"/>
        <w:numPr>
          <w:ilvl w:val="0"/>
          <w:numId w:val="1005"/>
        </w:numPr>
      </w:pPr>
      <w:r>
        <w:rPr>
          <w:b/>
          <w:bCs/>
        </w:rPr>
        <w:t xml:space="preserve">Impartial Scientific Tone:</w:t>
      </w:r>
      <w:r>
        <w:t xml:space="preserve"> </w:t>
      </w:r>
      <w:r>
        <w:t xml:space="preserve">Language adheres to strict objective reporting standards suitable for legal proceedings.</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2026-08-29T21:08:31Z</dcterms:created>
  <dcterms:modified xsi:type="dcterms:W3CDTF">2026-08-29T21:08:31Z</dcterms:modified>
</cp:coreProperties>
</file>

<file path=docProps/custom.xml><?xml version="1.0" encoding="utf-8"?>
<Properties xmlns="http://schemas.openxmlformats.org/officeDocument/2006/custom-properties" xmlns:vt="http://schemas.openxmlformats.org/officeDocument/2006/docPropsVTypes"/>
</file>