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87132708e0c2faaa589eff1fa521bfac5c593d2"/>
    <w:p>
      <w:pPr>
        <w:pStyle w:val="Heading1"/>
      </w:pPr>
      <w:r>
        <w:t xml:space="preserve">RANSOMWARE &amp; EXTORTION INCIDENT RESPONSE PLAYBOOK</w:t>
      </w:r>
    </w:p>
    <w:p>
      <w:pPr>
        <w:pStyle w:val="FirstParagraph"/>
      </w:pPr>
      <w:r>
        <w:rPr>
          <w:b/>
          <w:bCs/>
        </w:rPr>
        <w:t xml:space="preserve">Document Control ID:</w:t>
      </w:r>
      <w:r>
        <w:t xml:space="preserve"> </w:t>
      </w:r>
      <w:r>
        <w:t xml:space="preserve">DFIR-PB-001</w:t>
      </w:r>
      <w:r>
        <w:t xml:space="preserve"> </w:t>
      </w:r>
      <w:r>
        <w:rPr>
          <w:b/>
          <w:bCs/>
        </w:rPr>
        <w:t xml:space="preserve">Target Standard:</w:t>
      </w:r>
      <w:r>
        <w:t xml:space="preserve"> </w:t>
      </w:r>
      <w:r>
        <w:t xml:space="preserve">NIST SP 800-61 Rev. 3 / ISO/IEC 27037</w:t>
      </w:r>
      <w:r>
        <w:t xml:space="preserve"> </w:t>
      </w:r>
      <w:r>
        <w:rPr>
          <w:b/>
          <w:bCs/>
        </w:rPr>
        <w:t xml:space="preserve">Case Tracking Number:</w:t>
      </w:r>
      <w:r>
        <w:t xml:space="preserve"> </w:t>
      </w:r>
      <w:r>
        <w:t xml:space="preserve">[INSERT_CASE_ID]</w:t>
      </w:r>
      <w:r>
        <w:t xml:space="preserve"> </w:t>
      </w:r>
      <w:r>
        <w:rPr>
          <w:b/>
          <w:bCs/>
        </w:rPr>
        <w:t xml:space="preserve">Lead Investigator:</w:t>
      </w:r>
      <w:r>
        <w:t xml:space="preserve"> </w:t>
      </w:r>
      <w:r>
        <w:t xml:space="preserve">[INSERT_EXAMINER_NAME] |</w:t>
      </w:r>
      <w:r>
        <w:t xml:space="preserve"> </w:t>
      </w:r>
      <w:r>
        <w:rPr>
          <w:b/>
          <w:bCs/>
        </w:rPr>
        <w:t xml:space="preserve">Lab/Agency:</w:t>
      </w:r>
      <w:r>
        <w:t xml:space="preserve"> </w:t>
      </w:r>
      <w:r>
        <w:t xml:space="preserve">[INSERT_ORGANIZATION]</w:t>
      </w:r>
      <w:r>
        <w:t xml:space="preserve"> </w:t>
      </w:r>
      <w:r>
        <w:rPr>
          <w:b/>
          <w:bCs/>
        </w:rPr>
        <w:t xml:space="preserve">Date of Incident:</w:t>
      </w:r>
      <w:r>
        <w:t xml:space="preserve"> </w:t>
      </w:r>
      <w:r>
        <w:t xml:space="preserve">[INSERT_INCIDENT_DATE] |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HIGHLY CONFIDENTIAL / PRIVILEGED</w:t>
      </w:r>
    </w:p>
    <w:p>
      <w:r>
        <w:pict>
          <v:rect style="width:0;height:1.5pt" o:hralign="center" o:hrstd="t" o:hr="t"/>
        </w:pict>
      </w:r>
    </w:p>
    <w:bookmarkStart w:id="9" w:name="incident-severity-escalation-matrix"/>
    <w:p>
      <w:pPr>
        <w:pStyle w:val="Heading2"/>
      </w:pPr>
      <w:r>
        <w:t xml:space="preserve">1. INCIDENT SEVERITY &amp; ESCALATION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Response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Incident Commander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1 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domain-wide encryption, DC compromised, backup destruction.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(&lt; 15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/ Legal Lead / Lead Examiner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2 (High)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Multi-host encryption/exfiltration confirmed, EDR disabled on subnet.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3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isolated workstation encrypted, lateral movement blocked.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DFIR Examiner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4 (Low)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Ransomware execution attempted but blocked by endpoint telemetry.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Tier 2 Analyst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phase-1-immediate-isolation-containment"/>
    <w:p>
      <w:pPr>
        <w:pStyle w:val="Heading2"/>
      </w:pPr>
      <w:r>
        <w:t xml:space="preserve">2. PHASE 1: IMMEDIATE ISOLATION &amp; CONTAINMENT</w:t>
      </w:r>
    </w:p>
    <w:p>
      <w:pPr>
        <w:pStyle w:val="BlockText"/>
      </w:pPr>
      <w:r>
        <w:rPr>
          <w:b/>
          <w:bCs/>
        </w:rPr>
        <w:t xml:space="preserve">CRITICAL EVIDENCE PRESERVATION RULE: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reboot or power down live endpoints immediately. Volatile memory (RAM) contains active encryption keys, command-and-control (C2) sockets, and injected payload artifacts.</w:t>
      </w:r>
    </w:p>
    <w:bookmarkStart w:id="10" w:name="network-endpoint-isolation"/>
    <w:p>
      <w:pPr>
        <w:pStyle w:val="Heading3"/>
      </w:pPr>
      <w:r>
        <w:t xml:space="preserve">2.1 Network &amp; Endpoint Isolation</w:t>
      </w:r>
    </w:p>
    <w:p>
      <w:pPr>
        <w:pStyle w:val="FirstParagraph"/>
      </w:pPr>
      <w:r>
        <w:t xml:space="preserve">Execute containment commands in order of operational priority: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Host-Level Network Interface Disablement:</w:t>
      </w:r>
    </w:p>
    <w:p>
      <w:pPr>
        <w:pStyle w:val="SourceCode"/>
      </w:pPr>
      <w:r>
        <w:rPr>
          <w:rStyle w:val="CommentTok"/>
        </w:rPr>
        <w:t xml:space="preserve"># Disable all active physical and virtual network interfaces</w:t>
      </w:r>
      <w:r>
        <w:br/>
      </w:r>
      <w:r>
        <w:rPr>
          <w:rStyle w:val="NormalTok"/>
        </w:rPr>
        <w:t xml:space="preserve">Get-NetAdapter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Disable-NetAdapter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Block Outbound Command &amp; Control (C2):</w:t>
      </w:r>
    </w:p>
    <w:p>
      <w:pPr>
        <w:pStyle w:val="SourceCode"/>
      </w:pPr>
      <w:r>
        <w:rPr>
          <w:rStyle w:val="CommentTok"/>
        </w:rPr>
        <w:t xml:space="preserve"># Create an emergency outbound block rule</w:t>
      </w:r>
      <w:r>
        <w:br/>
      </w:r>
      <w:r>
        <w:rPr>
          <w:rStyle w:val="NormalTok"/>
        </w:rPr>
        <w:t xml:space="preserve">New-NetFirewallRule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"DFIR-Emergency-C2-Block"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Outbound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Block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Profile Any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Terminate Lateral Movement Vector (SMB/RPC):</w:t>
      </w:r>
    </w:p>
    <w:p>
      <w:pPr>
        <w:pStyle w:val="SourceCode"/>
      </w:pPr>
      <w:r>
        <w:rPr>
          <w:rStyle w:val="CommentTok"/>
        </w:rPr>
        <w:t xml:space="preserve"># Stop Server service immediately</w:t>
      </w:r>
      <w:r>
        <w:br/>
      </w:r>
      <w:r>
        <w:rPr>
          <w:rStyle w:val="FunctionTok"/>
        </w:rPr>
        <w:t xml:space="preserve">Stop-Service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LanmanServer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46b4fe628f39638fd24eb5e0e623e6348d52dc9"/>
    <w:p>
      <w:pPr>
        <w:pStyle w:val="Heading2"/>
      </w:pPr>
      <w:r>
        <w:t xml:space="preserve">3. PHASE 2: EVIDENCE PRESERVATION &amp; ARTIFACT HUNTING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Volatile RAM Capture: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winpmem.exe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DumpIt.exe</w:t>
      </w:r>
      <w:r>
        <w:t xml:space="preserve"> </w:t>
      </w:r>
      <w:r>
        <w:t xml:space="preserve">directly to an external triage drive (</w:t>
      </w:r>
      <w:r>
        <w:rPr>
          <w:rStyle w:val="VerbatimChar"/>
        </w:rPr>
        <w:t xml:space="preserve">E:\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Volume Shadow Copies (VSS):</w:t>
      </w:r>
      <w:r>
        <w:t xml:space="preserve"> </w:t>
      </w:r>
      <w:r>
        <w:t xml:space="preserve">Check if shadow copies exist (</w:t>
      </w:r>
      <w:r>
        <w:rPr>
          <w:rStyle w:val="VerbatimChar"/>
        </w:rPr>
        <w:t xml:space="preserve">vssadmin list shadows</w:t>
      </w:r>
      <w:r>
        <w:t xml:space="preserve">) before malware can delete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KAPE Triage Collection: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$MFT</w:t>
      </w:r>
      <w:r>
        <w:t xml:space="preserve">,</w:t>
      </w:r>
      <w:r>
        <w:t xml:space="preserve"> </w:t>
      </w:r>
      <w:r>
        <w:rPr>
          <w:rStyle w:val="VerbatimChar"/>
        </w:rPr>
        <w:t xml:space="preserve">$LogFile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$UsnJrnl</w:t>
      </w:r>
      <w:r>
        <w:t xml:space="preserve">, Prefetch (</w:t>
      </w:r>
      <w:r>
        <w:rPr>
          <w:rStyle w:val="VerbatimChar"/>
        </w:rPr>
        <w:t xml:space="preserve">C:\Windows\Prefetch</w:t>
      </w:r>
      <w:r>
        <w:t xml:space="preserve">), and Event Logs (</w:t>
      </w:r>
      <w:r>
        <w:rPr>
          <w:rStyle w:val="VerbatimChar"/>
        </w:rPr>
        <w:t xml:space="preserve">.evtx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Ransom Note &amp; Sample Isolation:</w:t>
      </w:r>
      <w:r>
        <w:t xml:space="preserve"> </w:t>
      </w:r>
      <w:r>
        <w:t xml:space="preserve">Secure an encrypted sample file alongside the ransom note (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.hta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3" w:name="X09dbb337515783284c3c80541bd05295f2d002f"/>
    <w:p>
      <w:pPr>
        <w:pStyle w:val="Heading2"/>
      </w:pPr>
      <w:r>
        <w:t xml:space="preserve">4. PHASE 3: ROOT CAUSE &amp; INITIAL ACCESS ANALYSIS</w:t>
      </w:r>
    </w:p>
    <w:p>
      <w:pPr>
        <w:pStyle w:val="FirstParagraph"/>
      </w:pPr>
      <w:r>
        <w:t xml:space="preserve">Interrogate the following artifact vectors to determine patient zero and entry mechanism: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Forensic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/ Investigation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 RDP /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Log Event ID 4624 (Type 10 / Type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anomalous source IPs or credential spray patterns.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Phishing /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Outlook PST/OST,</w:t>
            </w:r>
            <w:r>
              <w:t xml:space="preserve"> </w:t>
            </w:r>
            <w:r>
              <w:rPr>
                <w:rStyle w:val="VerbatimChar"/>
              </w:rPr>
              <w:t xml:space="preserve">Recent</w:t>
            </w:r>
            <w:r>
              <w:t xml:space="preserve"> </w:t>
            </w:r>
            <w:r>
              <w:t xml:space="preserve">LNK files,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execution of ISO, ZIP, LNK, or macro-enabled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 Exploits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IIS / Apache / VPN Gateway Access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for POST requests targeting known CVE endpoints.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ID 4672, 7045 (New Service), PsExec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 for injected services, Cobalt Strike beacons, or Mimikatz traces.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hase-4-extortion-exfiltration-triage"/>
    <w:p>
      <w:pPr>
        <w:pStyle w:val="Heading2"/>
      </w:pPr>
      <w:r>
        <w:t xml:space="preserve">5. PHASE 4: EXTORTION &amp; EXFILTRATION TRIAGE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Cloud Storage Sync &amp; Web Uploads:</w:t>
      </w:r>
      <w:r>
        <w:t xml:space="preserve"> </w:t>
      </w:r>
      <w:r>
        <w:t xml:space="preserve">Check browser history and cloud tool database files (</w:t>
      </w:r>
      <w:r>
        <w:rPr>
          <w:rStyle w:val="VerbatimChar"/>
        </w:rPr>
        <w:t xml:space="preserve">SyncEngineDatabase.db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filecache.db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Mega / Rclone Staging:</w:t>
      </w:r>
      <w:r>
        <w:t xml:space="preserve"> </w:t>
      </w:r>
      <w:r>
        <w:t xml:space="preserve">Inspect registry</w:t>
      </w:r>
      <w:r>
        <w:t xml:space="preserve"> </w:t>
      </w:r>
      <w:r>
        <w:rPr>
          <w:rStyle w:val="VerbatimChar"/>
        </w:rPr>
        <w:t xml:space="preserve">HKCU\Software\rclone</w:t>
      </w:r>
      <w:r>
        <w:t xml:space="preserve"> </w:t>
      </w:r>
      <w:r>
        <w:t xml:space="preserve">and prefetch traces for</w:t>
      </w:r>
      <w:r>
        <w:t xml:space="preserve"> </w:t>
      </w:r>
      <w:r>
        <w:rPr>
          <w:rStyle w:val="VerbatimChar"/>
        </w:rPr>
        <w:t xml:space="preserve">RCLONE.EXE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MEGASYNC.EXE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Network Egress Volume:</w:t>
      </w:r>
      <w:r>
        <w:t xml:space="preserve"> </w:t>
      </w:r>
      <w:r>
        <w:t xml:space="preserve">Request firewall NetFlow / perimeter egress logs to quantify exfiltrated megabytes.</w:t>
      </w:r>
    </w:p>
    <w:p>
      <w:r>
        <w:pict>
          <v:rect style="width:0;height:1.5pt" o:hralign="center" o:hrstd="t" o:hr="t"/>
        </w:pict>
      </w:r>
    </w:p>
    <w:bookmarkEnd w:id="14"/>
    <w:bookmarkStart w:id="15" w:name="X73dae7fac987e9cac0f81fbd79e76220be77308"/>
    <w:p>
      <w:pPr>
        <w:pStyle w:val="Heading2"/>
      </w:pPr>
      <w:r>
        <w:t xml:space="preserve">6. PHASE 5: ERADICATION, RECOVERY &amp; LESSONS LEARNED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Active Directory Reset:</w:t>
      </w:r>
      <w:r>
        <w:t xml:space="preserve"> </w:t>
      </w:r>
      <w:r>
        <w:t xml:space="preserve">Perform a double Kerberos Ticket-Granting Service (</w:t>
      </w:r>
      <w:r>
        <w:rPr>
          <w:rStyle w:val="VerbatimChar"/>
        </w:rPr>
        <w:t xml:space="preserve">krbtgt</w:t>
      </w:r>
      <w:r>
        <w:t xml:space="preserve">) password reset across domain controllers.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Gold Master Rebuilds:</w:t>
      </w:r>
      <w:r>
        <w:t xml:space="preserve"> </w:t>
      </w:r>
      <w:r>
        <w:t xml:space="preserve">Never attempt to</w:t>
      </w:r>
      <w:r>
        <w:t xml:space="preserve"> </w:t>
      </w:r>
      <w:r>
        <w:t xml:space="preserve">“clean”</w:t>
      </w:r>
      <w:r>
        <w:t xml:space="preserve"> </w:t>
      </w:r>
      <w:r>
        <w:t xml:space="preserve">an encrypted host; re-image all impacted operating systems from trusted bare-metal gold images.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Decryption Tool Verification:</w:t>
      </w:r>
      <w:r>
        <w:t xml:space="preserve"> </w:t>
      </w:r>
      <w:r>
        <w:t xml:space="preserve">Submit isolated ransomware sample binaries and notes to</w:t>
      </w:r>
      <w:r>
        <w:t xml:space="preserve"> </w:t>
      </w:r>
      <w:r>
        <w:rPr>
          <w:i/>
          <w:iCs/>
        </w:rPr>
        <w:t xml:space="preserve">NoMoreRansom.org</w:t>
      </w:r>
      <w:r>
        <w:t xml:space="preserve"> </w:t>
      </w:r>
      <w:r>
        <w:t xml:space="preserve">to verify if public decryptors exist before considering ransom negotiations.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Post-Mortem Incident Timeline:</w:t>
      </w:r>
      <w:r>
        <w:t xml:space="preserve"> </w:t>
      </w:r>
      <w:r>
        <w:t xml:space="preserve">Consolidate artifact timestamps into the Master DFIR Investigation Report within 72 hours of containment.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2026-08-29T21:08:42Z</dcterms:created>
  <dcterms:modified xsi:type="dcterms:W3CDTF">2026-08-29T21:08:42Z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