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CUL Admin App - 菜单规划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客户管理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客户查询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合并客户搜索和客户列表           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地址查询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身份认证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证件下载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问题处理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客户留言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迁移当前系统订单系统下面的留言模块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订单管理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订单查询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对应订单明细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订单导出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合并单包，多包导出，合并导出备份和更新导出（既增加订单状态过滤)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订单打印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合并单包，多包打印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线下订单管理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订单创建</w:t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ab/>
        <w:t xml:space="preserve">全新模块放到后面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批量订单创建</w:t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ab/>
        <w:t xml:space="preserve">全新模块放到后面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仓储管理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收货管理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收货登记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对应入库登记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收货查询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对应预报信息，增加查询过滤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上架管理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上架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全新模块放到后面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上架查询</w:t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ab/>
        <w:t xml:space="preserve">全新模块放到后面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库存管理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库存查询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对应库存信息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拣货管理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创建拣货单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下架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全新模块放到后面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打包管理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按单打包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打包记录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出货管理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订单签出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称重，批价，打印对应渠道运单和CUL条码在一起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出库查询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对应出库信息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物流管理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渠道管理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添加渠道  </w:t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可以添加和维护渠道和设定渠道计费标准以及运单模板，结合当前的几个渠道（USPS除外）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渠道查询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渠道集成</w:t>
        <w:tab/>
      </w:r>
      <w:r w:rsidDel="00000000" w:rsidR="00000000" w:rsidRPr="00000000">
        <w:rPr>
          <w:rFonts w:ascii="SimSun" w:cs="SimSun" w:eastAsia="SimSun" w:hAnsi="SimSun"/>
          <w:i w:val="1"/>
          <w:color w:val="ff0000"/>
          <w:sz w:val="24"/>
          <w:szCs w:val="24"/>
          <w:rtl w:val="0"/>
        </w:rPr>
        <w:t xml:space="preserve">全新模块放到后面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