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</w:rPr>
        <w:br/>
        <w:br/>
        <w:br/>
        <w:br/>
      </w:r>
      <w:r>
        <w:rPr>
          <w:rFonts w:ascii="Times New Roman" w:hAnsi="Times New Roman"/>
          <w:b/>
          <w:sz w:val="32"/>
        </w:rPr>
        <w:t>Predicting WTI Crude Oil Price Changes:</w:t>
        <w:br/>
        <w:t>A Multi-Factor Econometric Analysis</w:t>
        <w:br/>
        <w:t>at Monthly and Weekly Frequencies</w:t>
      </w:r>
    </w:p>
    <w:p>
      <w:pPr>
        <w:jc w:val="center"/>
      </w:pPr>
      <w:r>
        <w:rPr>
          <w:rFonts w:ascii="Times New Roman" w:hAnsi="Times New Roman"/>
        </w:rPr>
        <w:br/>
        <w:br/>
        <w:br/>
        <w:t>MFIN8852.01</w:t>
        <w:br/>
        <w:t>Financial Econometrics</w:t>
        <w:br/>
        <w:br/>
        <w:t>[Your Name(s)]</w:t>
        <w:br/>
        <w:t>[Date]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of Contents</w:t>
      </w:r>
    </w:p>
    <w:p>
      <w:r>
        <w:t>1. Introduction</w:t>
      </w:r>
    </w:p>
    <w:p>
      <w:r>
        <w:t>2. Data</w:t>
      </w:r>
    </w:p>
    <w:p>
      <w:r>
        <w:t>3. OLS Multiple Regression</w:t>
      </w:r>
    </w:p>
    <w:p>
      <w:r>
        <w:t>4. Testing the 5 CLRM Assumptions</w:t>
      </w:r>
    </w:p>
    <w:p>
      <w:r>
        <w:t>5. GARCH Model</w:t>
      </w:r>
    </w:p>
    <w:p>
      <w:r>
        <w:t>6. Structural Break Analysis</w:t>
      </w:r>
    </w:p>
    <w:p>
      <w:r>
        <w:t>7. Out-of-Sample Test</w:t>
      </w:r>
    </w:p>
    <w:p>
      <w:r>
        <w:t>8. Weekly Analysis</w:t>
      </w:r>
    </w:p>
    <w:p>
      <w:r>
        <w:t>9. Monthly vs. Weekly Comparison</w:t>
      </w:r>
    </w:p>
    <w:p>
      <w:r>
        <w:t>10. Conclusion</w:t>
      </w:r>
    </w:p>
    <w:p>
      <w:r>
        <w:t>11. Code Appendix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Introduction</w:t>
      </w:r>
    </w:p>
    <w:p>
      <w:r>
        <w:t>[Write ~1 page. Key points:]</w:t>
      </w:r>
    </w:p>
    <w:p>
      <w:pPr>
        <w:pStyle w:val="ListBullet"/>
      </w:pPr>
      <w:r>
        <w:t>WTI crude is the global energy benchmark.</w:t>
      </w:r>
    </w:p>
    <w:p>
      <w:pPr>
        <w:pStyle w:val="ListBullet"/>
      </w:pPr>
      <w:r>
        <w:t>Hypothesis: Volatility — driven by geopolitical threats and market sentiment — is the primary transmission channel for WTI price changes. High volatility pushes prices up (supply risk premia); low volatility allows prices to drift down.</w:t>
      </w:r>
    </w:p>
    <w:p>
      <w:pPr>
        <w:pStyle w:val="ListBullet"/>
      </w:pPr>
      <w:r>
        <w:t>We test this in two stages: (1) OLS to identify which factors explain returns, separating expected energy co-movement from genuinely predictive lagged variables; (2) GARCH to test whether volatility itself is predictable and persistent.</w:t>
      </w:r>
    </w:p>
    <w:p>
      <w:pPr>
        <w:pStyle w:val="ListBullet"/>
      </w:pPr>
      <w:r>
        <w:t>Two frequencies (monthly + weekly) for robustness. Data: Dec 1990 – Dec 2025.</w:t>
      </w:r>
    </w:p>
    <w:p>
      <w:pPr>
        <w:pStyle w:val="Heading1"/>
      </w:pPr>
      <w:r>
        <w:rPr>
          <w:rFonts w:ascii="Times New Roman" w:hAnsi="Times New Roman"/>
        </w:rPr>
        <w:t>2. Data</w:t>
      </w:r>
    </w:p>
    <w:p>
      <w:r>
        <w:t>Monthly: 419 observations, 17 predictor variables.</w:t>
      </w:r>
    </w:p>
    <w:p>
      <w:r>
        <w:t>Weekly: 972 observations, ~16 variables.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Variables</w:t>
            </w:r>
          </w:p>
        </w:tc>
      </w:tr>
      <w:tr>
        <w:tc>
          <w:tcPr>
            <w:tcW w:type="dxa" w:w="4320"/>
          </w:tcPr>
          <w:p>
            <w:r>
              <w:t>Energy (contemporaneous)</w:t>
            </w:r>
          </w:p>
        </w:tc>
        <w:tc>
          <w:tcPr>
            <w:tcW w:type="dxa" w:w="4320"/>
          </w:tcPr>
          <w:p>
            <w:r>
              <w:t>Heating oil, natural gas — same supply chain as WTI</w:t>
            </w:r>
          </w:p>
        </w:tc>
      </w:tr>
      <w:tr>
        <w:tc>
          <w:tcPr>
            <w:tcW w:type="dxa" w:w="4320"/>
          </w:tcPr>
          <w:p>
            <w:r>
              <w:t>Financial (lagged)</w:t>
            </w:r>
          </w:p>
        </w:tc>
        <w:tc>
          <w:tcPr>
            <w:tcW w:type="dxa" w:w="4320"/>
          </w:tcPr>
          <w:p>
            <w:r>
              <w:t>S&amp;P 500, VIX, gold, copper, DXY, 10Y Treasury, Brent, OVX</w:t>
            </w:r>
          </w:p>
        </w:tc>
      </w:tr>
      <w:tr>
        <w:tc>
          <w:tcPr>
            <w:tcW w:type="dxa" w:w="4320"/>
          </w:tcPr>
          <w:p>
            <w:r>
              <w:t>Macro/Geopolitical (lagged)</w:t>
            </w:r>
          </w:p>
        </w:tc>
        <w:tc>
          <w:tcPr>
            <w:tcW w:type="dxa" w:w="4320"/>
          </w:tcPr>
          <w:p>
            <w:r>
              <w:t>Industrial production, IGREA, GPR Index, GPR Threats</w:t>
            </w:r>
          </w:p>
        </w:tc>
      </w:tr>
      <w:tr>
        <w:tc>
          <w:tcPr>
            <w:tcW w:type="dxa" w:w="4320"/>
          </w:tcPr>
          <w:p>
            <w:r>
              <w:t>Supply fundamentals (lagged)</w:t>
            </w:r>
          </w:p>
        </w:tc>
        <w:tc>
          <w:tcPr>
            <w:tcW w:type="dxa" w:w="4320"/>
          </w:tcPr>
          <w:p>
            <w:r>
              <w:t>SPR inventory, refinery utilization, crude stocks, US production</w:t>
            </w:r>
          </w:p>
        </w:tc>
      </w:tr>
    </w:tbl>
    <w:p/>
    <w:p>
      <w:pPr>
        <w:pStyle w:val="ListBullet"/>
      </w:pPr>
      <w:r>
        <w:t>Sources: Yahoo Finance, FRED, EIA, Caldara &amp; Iacoviello (GPR).</w:t>
      </w:r>
    </w:p>
    <w:p>
      <w:pPr>
        <w:pStyle w:val="ListBullet"/>
      </w:pPr>
      <w:r>
        <w:t>WTI returns: skewness = 1.055, kurtosis = 16.431 (Normal = 3) — fat tails.</w:t>
      </w:r>
    </w:p>
    <w:p>
      <w:r>
        <w:t>[Insert Figure: Correlation heatmap, WTI returns time series with events marked]</w:t>
      </w:r>
    </w:p>
    <w:p>
      <w:pPr>
        <w:pStyle w:val="Heading1"/>
      </w:pPr>
      <w:r>
        <w:rPr>
          <w:rFonts w:ascii="Times New Roman" w:hAnsi="Times New Roman"/>
        </w:rPr>
        <w:t>3. OLS Multiple Regression — Mixed Lag Structure</w:t>
      </w:r>
    </w:p>
    <w:p>
      <w:pPr>
        <w:pStyle w:val="ListBullet"/>
      </w:pPr>
      <w:r>
        <w:t>Energy variables (heating oil, nat gas) kept contemporaneous — expected supply-chain co-movement.</w:t>
      </w:r>
    </w:p>
    <w:p>
      <w:pPr>
        <w:pStyle w:val="ListBullet"/>
      </w:pPr>
      <w:r>
        <w:t>All other predictors lagged one period (t-1) — the real predictive test.</w:t>
      </w:r>
    </w:p>
    <w:p/>
    <w:p>
      <w:r>
        <w:t>Monthly reduced model: Adj. R² = 0.7435 (74.4%)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HAC Coef.</w:t>
            </w:r>
          </w:p>
        </w:tc>
        <w:tc>
          <w:tcPr>
            <w:tcW w:type="dxa" w:w="2160"/>
          </w:tcPr>
          <w:p>
            <w:r>
              <w:t>HAC p-value</w:t>
            </w:r>
          </w:p>
        </w:tc>
      </w:tr>
      <w:tr>
        <w:tc>
          <w:tcPr>
            <w:tcW w:type="dxa" w:w="2160"/>
          </w:tcPr>
          <w:p>
            <w:r>
              <w:t>heatoil_chg_pct</w:t>
            </w:r>
          </w:p>
        </w:tc>
        <w:tc>
          <w:tcPr>
            <w:tcW w:type="dxa" w:w="2160"/>
          </w:tcPr>
          <w:p>
            <w:r>
              <w:t>Contemp.</w:t>
            </w:r>
          </w:p>
        </w:tc>
        <w:tc>
          <w:tcPr>
            <w:tcW w:type="dxa" w:w="2160"/>
          </w:tcPr>
          <w:p>
            <w:r>
              <w:t>0.9632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spr_inv_chg_lag1</w:t>
            </w:r>
          </w:p>
        </w:tc>
        <w:tc>
          <w:tcPr>
            <w:tcW w:type="dxa" w:w="2160"/>
          </w:tcPr>
          <w:p>
            <w:r>
              <w:t>Lagged</w:t>
            </w:r>
          </w:p>
        </w:tc>
        <w:tc>
          <w:tcPr>
            <w:tcW w:type="dxa" w:w="2160"/>
          </w:tcPr>
          <w:p>
            <w:r>
              <w:t>0.6972</w:t>
            </w:r>
          </w:p>
        </w:tc>
        <w:tc>
          <w:tcPr>
            <w:tcW w:type="dxa" w:w="2160"/>
          </w:tcPr>
          <w:p>
            <w:r>
              <w:t>0.0268</w:t>
            </w:r>
          </w:p>
        </w:tc>
      </w:tr>
      <w:tr>
        <w:tc>
          <w:tcPr>
            <w:tcW w:type="dxa" w:w="2160"/>
          </w:tcPr>
          <w:p>
            <w:r>
              <w:t>refin_util_rate_lag1</w:t>
            </w:r>
          </w:p>
        </w:tc>
        <w:tc>
          <w:tcPr>
            <w:tcW w:type="dxa" w:w="2160"/>
          </w:tcPr>
          <w:p>
            <w:r>
              <w:t>Lagged</w:t>
            </w:r>
          </w:p>
        </w:tc>
        <w:tc>
          <w:tcPr>
            <w:tcW w:type="dxa" w:w="2160"/>
          </w:tcPr>
          <w:p>
            <w:r>
              <w:t>-0.1226</w:t>
            </w:r>
          </w:p>
        </w:tc>
        <w:tc>
          <w:tcPr>
            <w:tcW w:type="dxa" w:w="2160"/>
          </w:tcPr>
          <w:p>
            <w:r>
              <w:t>0.1449</w:t>
            </w:r>
          </w:p>
        </w:tc>
      </w:tr>
      <w:tr>
        <w:tc>
          <w:tcPr>
            <w:tcW w:type="dxa" w:w="2160"/>
          </w:tcPr>
          <w:p>
            <w:r>
              <w:t>crude_stk_excl_spr_lag1</w:t>
            </w:r>
          </w:p>
        </w:tc>
        <w:tc>
          <w:tcPr>
            <w:tcW w:type="dxa" w:w="2160"/>
          </w:tcPr>
          <w:p>
            <w:r>
              <w:t>Lagged</w:t>
            </w:r>
          </w:p>
        </w:tc>
        <w:tc>
          <w:tcPr>
            <w:tcW w:type="dxa" w:w="2160"/>
          </w:tcPr>
          <w:p>
            <w:r>
              <w:t>0.3308</w:t>
            </w:r>
          </w:p>
        </w:tc>
        <w:tc>
          <w:tcPr>
            <w:tcW w:type="dxa" w:w="2160"/>
          </w:tcPr>
          <w:p>
            <w:r>
              <w:t>0.0011</w:t>
            </w:r>
          </w:p>
        </w:tc>
      </w:tr>
      <w:tr>
        <w:tc>
          <w:tcPr>
            <w:tcW w:type="dxa" w:w="2160"/>
          </w:tcPr>
          <w:p>
            <w:r>
              <w:t>indpro_lag1</w:t>
            </w:r>
          </w:p>
        </w:tc>
        <w:tc>
          <w:tcPr>
            <w:tcW w:type="dxa" w:w="2160"/>
          </w:tcPr>
          <w:p>
            <w:r>
              <w:t>Lagged</w:t>
            </w:r>
          </w:p>
        </w:tc>
        <w:tc>
          <w:tcPr>
            <w:tcW w:type="dxa" w:w="2160"/>
          </w:tcPr>
          <w:p>
            <w:r>
              <w:t>-2.1414</w:t>
            </w:r>
          </w:p>
        </w:tc>
        <w:tc>
          <w:tcPr>
            <w:tcW w:type="dxa" w:w="2160"/>
          </w:tcPr>
          <w:p>
            <w:r>
              <w:t>0.0359</w:t>
            </w:r>
          </w:p>
        </w:tc>
      </w:tr>
    </w:tbl>
    <w:p/>
    <w:p>
      <w:pPr>
        <w:pStyle w:val="ListBullet"/>
      </w:pPr>
      <w:r>
        <w:t>Energy (contemporaneous, expected): heatoil_chg_pct</w:t>
      </w:r>
    </w:p>
    <w:p>
      <w:pPr>
        <w:pStyle w:val="ListBullet"/>
      </w:pPr>
      <w:r>
        <w:t>Predictive (lagged, the interesting ones): spr_inv_chg, refin_util_rate, crude_stk_excl_spr, indpro</w:t>
      </w:r>
    </w:p>
    <w:p/>
    <w:p>
      <w:r>
        <w:t>Weekly reduced model: Adj. R² = 0.6488 (64.9%)</w:t>
      </w:r>
    </w:p>
    <w:p>
      <w:pPr>
        <w:pStyle w:val="ListBullet"/>
      </w:pPr>
      <w:r>
        <w:t>Weekly energy (contemp.): heatoil_chg_pct</w:t>
      </w:r>
    </w:p>
    <w:p>
      <w:pPr>
        <w:pStyle w:val="ListBullet"/>
      </w:pPr>
      <w:r>
        <w:t>Weekly predictive (lagged): copper_chg_pct, brent_chg_pct, ovx_chg_pct, rbob_chg_pct, tcmsy10_chg_pct, refin_util_rate, tcmsy10_rate_diff</w:t>
      </w:r>
    </w:p>
    <w:p>
      <w:pPr>
        <w:pStyle w:val="Heading1"/>
      </w:pPr>
      <w:r>
        <w:rPr>
          <w:rFonts w:ascii="Times New Roman" w:hAnsi="Times New Roman"/>
        </w:rPr>
        <w:t>4. Testing the 5 CLRM Assumptions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Assumption</w:t>
            </w:r>
          </w:p>
        </w:tc>
        <w:tc>
          <w:tcPr>
            <w:tcW w:type="dxa" w:w="1440"/>
          </w:tcPr>
          <w:p>
            <w:r>
              <w:t>Notation</w:t>
            </w:r>
          </w:p>
        </w:tc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Weekly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Zero mean errors</w:t>
            </w:r>
          </w:p>
        </w:tc>
        <w:tc>
          <w:tcPr>
            <w:tcW w:type="dxa" w:w="1440"/>
          </w:tcPr>
          <w:p>
            <w:r>
              <w:t>E(εₜ) = 0</w:t>
            </w:r>
          </w:p>
        </w:tc>
        <w:tc>
          <w:tcPr>
            <w:tcW w:type="dxa" w:w="1440"/>
          </w:tcPr>
          <w:p>
            <w:r>
              <w:t>Constant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Constant variance</w:t>
            </w:r>
          </w:p>
        </w:tc>
        <w:tc>
          <w:tcPr>
            <w:tcW w:type="dxa" w:w="1440"/>
          </w:tcPr>
          <w:p>
            <w:r>
              <w:t>Var(εₜ) = σ²</w:t>
            </w:r>
          </w:p>
        </w:tc>
        <w:tc>
          <w:tcPr>
            <w:tcW w:type="dxa" w:w="1440"/>
          </w:tcPr>
          <w:p>
            <w:r>
              <w:t>Breusch-Pagan</w:t>
            </w:r>
          </w:p>
        </w:tc>
        <w:tc>
          <w:tcPr>
            <w:tcW w:type="dxa" w:w="1440"/>
          </w:tcPr>
          <w:p>
            <w:r>
              <w:t>p=0.0000 VIOLATED</w:t>
            </w:r>
          </w:p>
        </w:tc>
        <w:tc>
          <w:tcPr>
            <w:tcW w:type="dxa" w:w="1440"/>
          </w:tcPr>
          <w:p>
            <w:r>
              <w:t>p=0.0010 VIOLATED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 autocorrelation</w:t>
            </w:r>
          </w:p>
        </w:tc>
        <w:tc>
          <w:tcPr>
            <w:tcW w:type="dxa" w:w="1440"/>
          </w:tcPr>
          <w:p>
            <w:r>
              <w:t>Cov(εᵢ,εⱼ) = 0</w:t>
            </w:r>
          </w:p>
        </w:tc>
        <w:tc>
          <w:tcPr>
            <w:tcW w:type="dxa" w:w="1440"/>
          </w:tcPr>
          <w:p>
            <w:r>
              <w:t>DW / BG</w:t>
            </w:r>
          </w:p>
        </w:tc>
        <w:tc>
          <w:tcPr>
            <w:tcW w:type="dxa" w:w="1440"/>
          </w:tcPr>
          <w:p>
            <w:r>
              <w:t>DW=1.882, BG p=0.3497 OK</w:t>
            </w:r>
          </w:p>
        </w:tc>
        <w:tc>
          <w:tcPr>
            <w:tcW w:type="dxa" w:w="1440"/>
          </w:tcPr>
          <w:p>
            <w:r>
              <w:t>DW=2.112, BG p=0.0066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Exogeneity</w:t>
            </w:r>
          </w:p>
        </w:tc>
        <w:tc>
          <w:tcPr>
            <w:tcW w:type="dxa" w:w="1440"/>
          </w:tcPr>
          <w:p>
            <w:r>
              <w:t>Cov(xₜ,εₜ) = 0</w:t>
            </w:r>
          </w:p>
        </w:tc>
        <w:tc>
          <w:tcPr>
            <w:tcW w:type="dxa" w:w="1440"/>
          </w:tcPr>
          <w:p>
            <w:r>
              <w:t>Lagged X</w:t>
            </w:r>
          </w:p>
        </w:tc>
        <w:tc>
          <w:tcPr>
            <w:tcW w:type="dxa" w:w="1440"/>
          </w:tcPr>
          <w:p>
            <w:r>
              <w:t>OK by design</w:t>
            </w:r>
          </w:p>
        </w:tc>
        <w:tc>
          <w:tcPr>
            <w:tcW w:type="dxa" w:w="1440"/>
          </w:tcPr>
          <w:p>
            <w:r>
              <w:t>OK by design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Normality</w:t>
            </w:r>
          </w:p>
        </w:tc>
        <w:tc>
          <w:tcPr>
            <w:tcW w:type="dxa" w:w="1440"/>
          </w:tcPr>
          <w:p>
            <w:r>
              <w:t>εₜ ~ N(0,σ²)</w:t>
            </w:r>
          </w:p>
        </w:tc>
        <w:tc>
          <w:tcPr>
            <w:tcW w:type="dxa" w:w="1440"/>
          </w:tcPr>
          <w:p>
            <w:r>
              <w:t>Jarque-Bera</w:t>
            </w:r>
          </w:p>
        </w:tc>
        <w:tc>
          <w:tcPr>
            <w:tcW w:type="dxa" w:w="1440"/>
          </w:tcPr>
          <w:p>
            <w:r>
              <w:t>JB=1431.5 VIOLATED</w:t>
            </w:r>
          </w:p>
        </w:tc>
        <w:tc>
          <w:tcPr>
            <w:tcW w:type="dxa" w:w="1440"/>
          </w:tcPr>
          <w:p>
            <w:r>
              <w:t>VIOLATED</w:t>
            </w:r>
          </w:p>
        </w:tc>
      </w:tr>
    </w:tbl>
    <w:p/>
    <w:p>
      <w:pPr>
        <w:pStyle w:val="ListBullet"/>
      </w:pPr>
      <w:r>
        <w:t>ARCH-LM: Monthly p=0.0000, Weekly p=0.0000 — ARCH effects at both.</w:t>
      </w:r>
    </w:p>
    <w:p>
      <w:pPr>
        <w:pStyle w:val="ListBullet"/>
      </w:pPr>
      <w:r>
        <w:t>Fixes: HAC standard errors (Assumption 2), GARCH + Student-t (Assumptions 2, 5, ARCH).</w:t>
      </w:r>
    </w:p>
    <w:p>
      <w:r>
        <w:t>[Insert Figure: 4-panel residual diagnostics]</w:t>
      </w:r>
    </w:p>
    <w:p>
      <w:pPr>
        <w:pStyle w:val="Heading1"/>
      </w:pPr>
      <w:r>
        <w:rPr>
          <w:rFonts w:ascii="Times New Roman" w:hAnsi="Times New Roman"/>
        </w:rPr>
        <w:t>5. GARCH Model</w:t>
      </w:r>
    </w:p>
    <w:p>
      <w:pPr>
        <w:pStyle w:val="ListBullet"/>
      </w:pPr>
      <w:r>
        <w:t>Motivated by heteroskedasticity and ARCH effects.</w:t>
      </w:r>
    </w:p>
    <w:p>
      <w:pPr>
        <w:pStyle w:val="ListBullet"/>
      </w:pPr>
      <w:r>
        <w:t>Compared GARCH(1,1), EGARCH(1,1), GJR-GARCH(1,1,1).</w:t>
      </w:r>
    </w:p>
    <w:p/>
    <w:p>
      <w:r>
        <w:t>Monthly — Selected: GJR-GARCH(1,1)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Post-ARCH-LM p</w:t>
            </w:r>
          </w:p>
        </w:tc>
      </w:tr>
      <w:tr>
        <w:tc>
          <w:tcPr>
            <w:tcW w:type="dxa" w:w="2880"/>
          </w:tcPr>
          <w:p>
            <w:r>
              <w:t>GARCH(1,1)</w:t>
            </w:r>
          </w:p>
        </w:tc>
        <w:tc>
          <w:tcPr>
            <w:tcW w:type="dxa" w:w="2880"/>
          </w:tcPr>
          <w:p>
            <w:r>
              <w:t>2415.8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</w:tr>
      <w:tr>
        <w:tc>
          <w:tcPr>
            <w:tcW w:type="dxa" w:w="2880"/>
          </w:tcPr>
          <w:p>
            <w:r>
              <w:t>EGARCH(1,1)</w:t>
            </w:r>
          </w:p>
        </w:tc>
        <w:tc>
          <w:tcPr>
            <w:tcW w:type="dxa" w:w="2880"/>
          </w:tcPr>
          <w:p>
            <w:r>
              <w:t>2413.2</w:t>
            </w:r>
          </w:p>
        </w:tc>
        <w:tc>
          <w:tcPr>
            <w:tcW w:type="dxa" w:w="2880"/>
          </w:tcPr>
          <w:p>
            <w:r>
              <w:t>0.0006</w:t>
            </w:r>
          </w:p>
        </w:tc>
      </w:tr>
      <w:tr>
        <w:tc>
          <w:tcPr>
            <w:tcW w:type="dxa" w:w="2880"/>
          </w:tcPr>
          <w:p>
            <w:r>
              <w:t>GJR-GARCH(1,1)</w:t>
            </w:r>
          </w:p>
        </w:tc>
        <w:tc>
          <w:tcPr>
            <w:tcW w:type="dxa" w:w="2880"/>
          </w:tcPr>
          <w:p>
            <w:r>
              <w:t>2404.1</w:t>
            </w:r>
          </w:p>
        </w:tc>
        <w:tc>
          <w:tcPr>
            <w:tcW w:type="dxa" w:w="2880"/>
          </w:tcPr>
          <w:p>
            <w:r>
              <w:t>0.0071</w:t>
            </w:r>
          </w:p>
        </w:tc>
      </w:tr>
    </w:tbl>
    <w:p>
      <w:pPr>
        <w:pStyle w:val="ListBullet"/>
      </w:pPr>
      <w:r>
        <w:t>Persistence (α+β+½γ) = 0.8109</w:t>
      </w:r>
    </w:p>
    <w:p>
      <w:pPr>
        <w:pStyle w:val="ListBullet"/>
      </w:pPr>
      <w:r>
        <w:t>Student-t df ≈ 4.2 — confirms fat tails.</w:t>
      </w:r>
    </w:p>
    <w:p/>
    <w:p>
      <w:r>
        <w:t>Weekly — Selected: GARCH(1,1)</w:t>
      </w:r>
    </w:p>
    <w:p>
      <w:pPr>
        <w:pStyle w:val="ListBullet"/>
      </w:pPr>
      <w:r>
        <w:t>Persistence = 0.9281</w:t>
      </w:r>
    </w:p>
    <w:p>
      <w:pPr>
        <w:pStyle w:val="ListBullet"/>
      </w:pPr>
      <w:r>
        <w:t>GARCH(1,1) passes post-ARCH-LM (p=0.2272) — adequate fit.</w:t>
      </w:r>
    </w:p>
    <w:p/>
    <w:p>
      <w:pPr>
        <w:pStyle w:val="ListBullet"/>
      </w:pPr>
      <w:r>
        <w:t>GJR asymmetry: negative shocks → larger volatility than positive shocks — consistent with supply disruption risk.</w:t>
      </w:r>
    </w:p>
    <w:p>
      <w:r>
        <w:t>[Insert Figure: Conditional volatility with events marked]</w:t>
      </w:r>
    </w:p>
    <w:p>
      <w:pPr>
        <w:pStyle w:val="Heading1"/>
      </w:pPr>
      <w:r>
        <w:rPr>
          <w:rFonts w:ascii="Times New Roman" w:hAnsi="Times New Roman"/>
        </w:rPr>
        <w:t>6. Structural Break Analysis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Adj. R²</w:t>
            </w:r>
          </w:p>
        </w:tc>
        <w:tc>
          <w:tcPr>
            <w:tcW w:type="dxa" w:w="2160"/>
          </w:tcPr>
          <w:p>
            <w:r>
              <w:t>Significant Predictors</w:t>
            </w:r>
          </w:p>
        </w:tc>
      </w:tr>
      <w:tr>
        <w:tc>
          <w:tcPr>
            <w:tcW w:type="dxa" w:w="2160"/>
          </w:tcPr>
          <w:p>
            <w:r>
              <w:t>Pre-9/11 (1991-2001)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0.6964</w:t>
            </w:r>
          </w:p>
        </w:tc>
        <w:tc>
          <w:tcPr>
            <w:tcW w:type="dxa" w:w="2160"/>
          </w:tcPr>
          <w:p>
            <w:r>
              <w:t>heatoil_chg_pct, indpro_lag1</w:t>
            </w:r>
          </w:p>
        </w:tc>
      </w:tr>
      <w:tr>
        <w:tc>
          <w:tcPr>
            <w:tcW w:type="dxa" w:w="2160"/>
          </w:tcPr>
          <w:p>
            <w:r>
              <w:t>Post-9/11 to Crisis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0.8313</w:t>
            </w:r>
          </w:p>
        </w:tc>
        <w:tc>
          <w:tcPr>
            <w:tcW w:type="dxa" w:w="2160"/>
          </w:tcPr>
          <w:p>
            <w:r>
              <w:t>heatoil_chg_pct</w:t>
            </w:r>
          </w:p>
        </w:tc>
      </w:tr>
      <w:tr>
        <w:tc>
          <w:tcPr>
            <w:tcW w:type="dxa" w:w="2160"/>
          </w:tcPr>
          <w:p>
            <w:r>
              <w:t>Financial Crisis (2008-10)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0.8756</w:t>
            </w:r>
          </w:p>
        </w:tc>
        <w:tc>
          <w:tcPr>
            <w:tcW w:type="dxa" w:w="2160"/>
          </w:tcPr>
          <w:p>
            <w:r>
              <w:t>heatoil_chg_pct, spr_inv_chg_lag1</w:t>
            </w:r>
          </w:p>
        </w:tc>
      </w:tr>
      <w:tr>
        <w:tc>
          <w:tcPr>
            <w:tcW w:type="dxa" w:w="2160"/>
          </w:tcPr>
          <w:p>
            <w:r>
              <w:t>Recovery+Shale (2011-19)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0.7635</w:t>
            </w:r>
          </w:p>
        </w:tc>
        <w:tc>
          <w:tcPr>
            <w:tcW w:type="dxa" w:w="2160"/>
          </w:tcPr>
          <w:p>
            <w:r>
              <w:t>heatoil_chg_pct, indpro_lag1</w:t>
            </w:r>
          </w:p>
        </w:tc>
      </w:tr>
      <w:tr>
        <w:tc>
          <w:tcPr>
            <w:tcW w:type="dxa" w:w="2160"/>
          </w:tcPr>
          <w:p>
            <w:r>
              <w:t>COVID+Ukraine (2020-25)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0.7949</w:t>
            </w:r>
          </w:p>
        </w:tc>
        <w:tc>
          <w:tcPr>
            <w:tcW w:type="dxa" w:w="2160"/>
          </w:tcPr>
          <w:p>
            <w:r>
              <w:t>heatoil_chg_pct, refin_util_rate_lag1, crude_stk_excl_spr_lag1, indpro_lag1</w:t>
            </w:r>
          </w:p>
        </w:tc>
      </w:tr>
    </w:tbl>
    <w:p/>
    <w:p>
      <w:pPr>
        <w:pStyle w:val="ListBullet"/>
      </w:pPr>
      <w:r>
        <w:t>Heating oil is significant in every sub-period (expected co-movement).</w:t>
      </w:r>
    </w:p>
    <w:p>
      <w:pPr>
        <w:pStyle w:val="ListBullet"/>
      </w:pPr>
      <w:r>
        <w:t>Lagged predictors shift: INDPRO matters pre-9/11 and post-2011; SPR matters during crises; refinery util + crude stocks matter in COVID/Ukraine era.</w:t>
      </w:r>
    </w:p>
    <w:p>
      <w:pPr>
        <w:pStyle w:val="ListBullet"/>
      </w:pPr>
      <w:r>
        <w:t>Parameter instability confirms that different geopolitical regimes activate different transmission channels.</w:t>
      </w:r>
    </w:p>
    <w:p>
      <w:pPr>
        <w:pStyle w:val="Heading1"/>
      </w:pPr>
      <w:r>
        <w:rPr>
          <w:rFonts w:ascii="Times New Roman" w:hAnsi="Times New Roman"/>
        </w:rPr>
        <w:t>7. Out-of-Sample Test</w:t>
      </w:r>
    </w:p>
    <w:p>
      <w:pPr>
        <w:pStyle w:val="ListBullet"/>
      </w:pPr>
      <w:r>
        <w:t>Training: 212 obs (1991 – Aug 2008)</w:t>
      </w:r>
    </w:p>
    <w:p>
      <w:pPr>
        <w:pStyle w:val="ListBullet"/>
      </w:pPr>
      <w:r>
        <w:t>Testing: 208 obs (Sep 2008 – Dec 2025)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0.0760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0.0406</w:t>
            </w:r>
          </w:p>
        </w:tc>
      </w:tr>
      <w:tr>
        <w:tc>
          <w:tcPr>
            <w:tcW w:type="dxa" w:w="4320"/>
          </w:tcPr>
          <w:p>
            <w:r>
              <w:t>Direction accuracy</w:t>
            </w:r>
          </w:p>
        </w:tc>
        <w:tc>
          <w:tcPr>
            <w:tcW w:type="dxa" w:w="4320"/>
          </w:tcPr>
          <w:p>
            <w:r>
              <w:t>88.0%</w:t>
            </w:r>
          </w:p>
        </w:tc>
      </w:tr>
      <w:tr>
        <w:tc>
          <w:tcPr>
            <w:tcW w:type="dxa" w:w="4320"/>
          </w:tcPr>
          <w:p>
            <w:r>
              <w:t>Out-of-sample R²</w:t>
            </w:r>
          </w:p>
        </w:tc>
        <w:tc>
          <w:tcPr>
            <w:tcW w:type="dxa" w:w="4320"/>
          </w:tcPr>
          <w:p>
            <w:r>
              <w:t>0.5653</w:t>
            </w:r>
          </w:p>
        </w:tc>
      </w:tr>
    </w:tbl>
    <w:p>
      <w:pPr>
        <w:pStyle w:val="ListBullet"/>
      </w:pPr>
      <w:r>
        <w:t>88% direction accuracy and OOS R² = 0.5653 — the model generalizes reasonably well despite structural shifts.</w:t>
      </w:r>
    </w:p>
    <w:p>
      <w:r>
        <w:t>[Insert Figure: Actual vs Predicted out-of-sample plot]</w:t>
      </w:r>
    </w:p>
    <w:p>
      <w:pPr>
        <w:pStyle w:val="Heading1"/>
      </w:pPr>
      <w:r>
        <w:rPr>
          <w:rFonts w:ascii="Times New Roman" w:hAnsi="Times New Roman"/>
        </w:rPr>
        <w:t>8. Monthly vs. Weekly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  <w:tr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972</w:t>
            </w:r>
          </w:p>
        </w:tc>
      </w:tr>
      <w:tr>
        <w:tc>
          <w:tcPr>
            <w:tcW w:type="dxa" w:w="2880"/>
          </w:tcPr>
          <w:p>
            <w:r>
              <w:t>OLS Adj. R²</w:t>
            </w:r>
          </w:p>
        </w:tc>
        <w:tc>
          <w:tcPr>
            <w:tcW w:type="dxa" w:w="2880"/>
          </w:tcPr>
          <w:p>
            <w:r>
              <w:t>0.7435</w:t>
            </w:r>
          </w:p>
        </w:tc>
        <w:tc>
          <w:tcPr>
            <w:tcW w:type="dxa" w:w="2880"/>
          </w:tcPr>
          <w:p>
            <w:r>
              <w:t>0.6488</w:t>
            </w:r>
          </w:p>
        </w:tc>
      </w:tr>
      <w:tr>
        <w:tc>
          <w:tcPr>
            <w:tcW w:type="dxa" w:w="2880"/>
          </w:tcPr>
          <w:p>
            <w:r>
              <w:t>ARCH-LM p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  <w:tr>
        <w:tc>
          <w:tcPr>
            <w:tcW w:type="dxa" w:w="2880"/>
          </w:tcPr>
          <w:p>
            <w:r>
              <w:t>GARCH selected</w:t>
            </w:r>
          </w:p>
        </w:tc>
        <w:tc>
          <w:tcPr>
            <w:tcW w:type="dxa" w:w="2880"/>
          </w:tcPr>
          <w:p>
            <w:r>
              <w:t>GJR-GARCH(1,1)</w:t>
            </w:r>
          </w:p>
        </w:tc>
        <w:tc>
          <w:tcPr>
            <w:tcW w:type="dxa" w:w="2880"/>
          </w:tcPr>
          <w:p>
            <w:r>
              <w:t>GARCH(1,1)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0.8109</w:t>
            </w:r>
          </w:p>
        </w:tc>
        <w:tc>
          <w:tcPr>
            <w:tcW w:type="dxa" w:w="2880"/>
          </w:tcPr>
          <w:p>
            <w:r>
              <w:t>0.9281</w:t>
            </w:r>
          </w:p>
        </w:tc>
      </w:tr>
      <w:tr>
        <w:tc>
          <w:tcPr>
            <w:tcW w:type="dxa" w:w="2880"/>
          </w:tcPr>
          <w:p>
            <w:r>
              <w:t>Energy (contemp.)</w:t>
            </w:r>
          </w:p>
        </w:tc>
        <w:tc>
          <w:tcPr>
            <w:tcW w:type="dxa" w:w="2880"/>
          </w:tcPr>
          <w:p>
            <w:r>
              <w:t>heatoil_chg_pct</w:t>
            </w:r>
          </w:p>
        </w:tc>
        <w:tc>
          <w:tcPr>
            <w:tcW w:type="dxa" w:w="2880"/>
          </w:tcPr>
          <w:p>
            <w:r>
              <w:t>heatoil_chg_pct</w:t>
            </w:r>
          </w:p>
        </w:tc>
      </w:tr>
      <w:tr>
        <w:tc>
          <w:tcPr>
            <w:tcW w:type="dxa" w:w="2880"/>
          </w:tcPr>
          <w:p>
            <w:r>
              <w:t>Predictive (lagged)</w:t>
            </w:r>
          </w:p>
        </w:tc>
        <w:tc>
          <w:tcPr>
            <w:tcW w:type="dxa" w:w="2880"/>
          </w:tcPr>
          <w:p>
            <w:r>
              <w:t>spr_inv_chg, refin_util_rate, crude_stk_excl_spr, indpro</w:t>
            </w:r>
          </w:p>
        </w:tc>
        <w:tc>
          <w:tcPr>
            <w:tcW w:type="dxa" w:w="2880"/>
          </w:tcPr>
          <w:p>
            <w:r>
              <w:t>copper_chg_pct, brent_chg_pct, ovx_chg_pct, rbob_chg_pct, tcmsy10_chg_pct, refin_util_rate, tcmsy10_rate_diff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9. Conclusion</w:t>
      </w:r>
    </w:p>
    <w:p>
      <w:pPr>
        <w:pStyle w:val="ListBullet"/>
      </w:pPr>
      <w:r>
        <w:t>Hypothesis supported: volatility is the dominant predictable feature of oil markets.</w:t>
      </w:r>
    </w:p>
    <w:p>
      <w:pPr>
        <w:pStyle w:val="ListBullet"/>
      </w:pPr>
      <w:r>
        <w:t>OLS R² is high (74.4% monthly) but driven by contemporaneous energy co-movement — expected and mechanically uninteresting.</w:t>
      </w:r>
    </w:p>
    <w:p>
      <w:pPr>
        <w:pStyle w:val="ListBullet"/>
      </w:pPr>
      <w:r>
        <w:t>Lagged supply-side fundamentals (SPR, crude stocks, INDPRO) carry genuine predictive signal.</w:t>
      </w:r>
    </w:p>
    <w:p>
      <w:pPr>
        <w:pStyle w:val="ListBullet"/>
      </w:pPr>
      <w:r>
        <w:t>GARCH confirms volatility is persistent (0.8109 monthly) and predictable — geopolitical events produce distinct volatility regimes visible on the conditional volatility chart.</w:t>
      </w:r>
    </w:p>
    <w:p>
      <w:pPr>
        <w:pStyle w:val="ListBullet"/>
      </w:pPr>
      <w:r>
        <w:t>GJR asymmetry: negative shocks (wars, crises) → bigger volatility spikes. This supports the theory that geopolitical threats drive volatility, which drives price.</w:t>
      </w:r>
    </w:p>
    <w:p>
      <w:pPr>
        <w:pStyle w:val="ListBullet"/>
      </w:pPr>
      <w:r>
        <w:t>Out-of-sample: 88.0% direction accuracy, R² = 0.5653.</w:t>
      </w:r>
    </w:p>
    <w:p>
      <w:pPr>
        <w:pStyle w:val="ListBullet"/>
      </w:pPr>
      <w:r>
        <w:t>Practical takeaway: GARCH volatility forecasting is actionable for hedgers/risk managers, even when return direction is uncertain.</w:t>
      </w:r>
    </w:p>
    <w:p>
      <w:pPr>
        <w:pStyle w:val="ListBullet"/>
      </w:pPr>
      <w:r>
        <w:t>Future: regime-switching GARCH, VAR models, OPEC data, structural break tests (Chow/CUSUM).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10. Code Appendix</w:t>
      </w:r>
    </w:p>
    <w:p>
      <w:r>
        <w:t>[Paste key code blocks from analysis.ipynb]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