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  <w:r>
        <w:rPr>
          <w:rFonts w:ascii="Times New Roman" w:hAnsi="Times New Roman"/>
          <w:b/>
          <w:sz w:val="32"/>
        </w:rPr>
        <w:t>Predicting WTI Crude Oil Price Changes:</w:t>
        <w:br/>
        <w:t>A Multi-Factor Econometric Analysis</w:t>
        <w:br/>
        <w:t>at Monthly and Weekly Frequencies</w:t>
      </w:r>
    </w:p>
    <w:p>
      <w:pPr>
        <w:jc w:val="center"/>
      </w:pPr>
      <w:r>
        <w:rPr>
          <w:rFonts w:ascii="Times New Roman" w:hAnsi="Times New Roman"/>
        </w:rPr>
        <w:br/>
        <w:br/>
        <w:br/>
        <w:t>MFIN8852.01</w:t>
        <w:br/>
        <w:t>Financial Econometrics</w:t>
        <w:br/>
        <w:br/>
        <w:t>[Your Name(s)]</w:t>
        <w:br/>
        <w:t>[Date]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Table of Contents</w:t>
      </w:r>
    </w:p>
    <w:p>
      <w:r>
        <w:t>1. Introduction</w:t>
      </w:r>
    </w:p>
    <w:p>
      <w:r>
        <w:t>2. Data</w:t>
      </w:r>
    </w:p>
    <w:p>
      <w:r>
        <w:t>3. OLS Multiple Regression</w:t>
      </w:r>
    </w:p>
    <w:p>
      <w:r>
        <w:t>4. Testing the 5 CLRM Assumptions</w:t>
      </w:r>
    </w:p>
    <w:p>
      <w:r>
        <w:t>5. GARCH Model</w:t>
      </w:r>
    </w:p>
    <w:p>
      <w:r>
        <w:t>6. Monthly vs. Weekly Comparison</w:t>
      </w:r>
    </w:p>
    <w:p>
      <w:r>
        <w:t>7. Conclusion</w:t>
      </w:r>
    </w:p>
    <w:p>
      <w:r>
        <w:t>8. Code Appendix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1. Introduction</w:t>
      </w:r>
    </w:p>
    <w:p>
      <w:r>
        <w:t>[Write ~1 page covering:]</w:t>
      </w:r>
    </w:p>
    <w:p>
      <w:pPr>
        <w:pStyle w:val="ListBullet"/>
      </w:pPr>
      <w:r>
        <w:t>WTI crude oil is the global energy benchmark. Understanding what drives its price changes matters for hedging, risk management, and macro forecasting.</w:t>
      </w:r>
    </w:p>
    <w:p>
      <w:pPr>
        <w:pStyle w:val="ListBullet"/>
      </w:pPr>
      <w:r>
        <w:t>Hypothesis: Can lagged macro/financial variables predict monthly and weekly WTI price changes? Using X(t-1) to predict WTI(t) — a true predictive model.</w:t>
      </w:r>
    </w:p>
    <w:p>
      <w:pPr>
        <w:pStyle w:val="ListBullet"/>
      </w:pPr>
      <w:r>
        <w:t>We test two frequencies to see if results are consistent or if one performs better.</w:t>
      </w:r>
    </w:p>
    <w:p>
      <w:pPr>
        <w:pStyle w:val="ListBullet"/>
      </w:pPr>
      <w:r>
        <w:t>Data: December 1990 – December 2025, covering Gulf War, dot-com, 2008 crisis, shale revolution, COVID-19.</w:t>
      </w:r>
    </w:p>
    <w:p>
      <w:pPr>
        <w:pStyle w:val="ListBullet"/>
      </w:pPr>
      <w:r>
        <w:t>Approach: OLS regression with lagged predictors → test the 5 CLRM assumptions → correct violations (HAC standard errors, GARCH) → compare monthly vs. weekly.</w:t>
      </w:r>
    </w:p>
    <w:p>
      <w:pPr>
        <w:pStyle w:val="Heading1"/>
      </w:pPr>
      <w:r>
        <w:rPr>
          <w:rFonts w:ascii="Times New Roman" w:hAnsi="Times New Roman"/>
        </w:rPr>
        <w:t>2. Data</w:t>
      </w:r>
    </w:p>
    <w:p>
      <w:r>
        <w:t>[Write ~0.5 page:]</w:t>
      </w:r>
    </w:p>
    <w:p>
      <w:pPr>
        <w:pStyle w:val="ListBullet"/>
      </w:pPr>
      <w:r>
        <w:t>Monthly: 419 observations, 16 lagged predictors.</w:t>
      </w:r>
    </w:p>
    <w:p>
      <w:pPr>
        <w:pStyle w:val="ListBullet"/>
      </w:pPr>
      <w:r>
        <w:t>Weekly: 972 observations, ~12 lagged predictors.</w:t>
      </w:r>
    </w:p>
    <w:p>
      <w:r>
        <w:t>Variables in three categories: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Variables</w:t>
            </w:r>
          </w:p>
        </w:tc>
      </w:tr>
      <w:tr>
        <w:tc>
          <w:tcPr>
            <w:tcW w:type="dxa" w:w="4320"/>
          </w:tcPr>
          <w:p>
            <w:r>
              <w:t>Energy</w:t>
            </w:r>
          </w:p>
        </w:tc>
        <w:tc>
          <w:tcPr>
            <w:tcW w:type="dxa" w:w="4320"/>
          </w:tcPr>
          <w:p>
            <w:r>
              <w:t>Heating oil, natural gas, crude stocks, SPR inventory, refinery utilization, US crude production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S&amp;P 500, VIX/OVX, gold, copper, DXY, 10-Year Treasury</w:t>
            </w:r>
          </w:p>
        </w:tc>
      </w:tr>
      <w:tr>
        <w:tc>
          <w:tcPr>
            <w:tcW w:type="dxa" w:w="4320"/>
          </w:tcPr>
          <w:p>
            <w:r>
              <w:t>Macro/Geopolitical</w:t>
            </w:r>
          </w:p>
        </w:tc>
        <w:tc>
          <w:tcPr>
            <w:tcW w:type="dxa" w:w="4320"/>
          </w:tcPr>
          <w:p>
            <w:r>
              <w:t>Industrial production, global real economic activity, GPR index (monthly only)</w:t>
            </w:r>
          </w:p>
        </w:tc>
      </w:tr>
    </w:tbl>
    <w:p/>
    <w:p>
      <w:pPr>
        <w:pStyle w:val="ListBullet"/>
      </w:pPr>
      <w:r>
        <w:t>All predictors are lagged one period: we use last month's (or last week's) data to predict this period's WTI return.</w:t>
      </w:r>
    </w:p>
    <w:p>
      <w:pPr>
        <w:pStyle w:val="ListBullet"/>
      </w:pPr>
      <w:r>
        <w:t>Sources: Yahoo Finance, FRED, EIA, Caldara &amp; Iacoviello (GPR).</w:t>
      </w:r>
    </w:p>
    <w:p>
      <w:r>
        <w:t>[Insert Figure: Correlation heatmap]</w:t>
      </w:r>
    </w:p>
    <w:p>
      <w:pPr>
        <w:pStyle w:val="Heading1"/>
      </w:pPr>
      <w:r>
        <w:rPr>
          <w:rFonts w:ascii="Times New Roman" w:hAnsi="Times New Roman"/>
        </w:rPr>
        <w:t>3. OLS Multiple Regression</w:t>
      </w:r>
    </w:p>
    <w:p>
      <w:r>
        <w:t>[Write ~1 page:]</w:t>
      </w:r>
    </w:p>
    <w:p>
      <w:pPr>
        <w:pStyle w:val="ListBullet"/>
      </w:pPr>
      <w:r>
        <w:t>Model: WTI(t) = β₀ + β₁x₁(t-1) + β₂x₂(t-1) + ... + βₖxₖ(t-1) + ε(t)</w:t>
      </w:r>
    </w:p>
    <w:p>
      <w:pPr>
        <w:pStyle w:val="ListBullet"/>
      </w:pPr>
      <w:r>
        <w:t>Started with all 16 (monthly) / ~12 (weekly) lagged predictors, then applied general-to-specific: dropped insignificant variables.</w:t>
      </w:r>
    </w:p>
    <w:p/>
    <w:p>
      <w:r>
        <w:t>Monthly reduced model (2 significant lagged predictors):</w:t>
      </w:r>
    </w:p>
    <w:p>
      <w:pPr>
        <w:pStyle w:val="ListBullet"/>
      </w:pPr>
      <w:r>
        <w:t>Adj. R² = 0.0527 (~5.3% of variation explained)</w:t>
      </w:r>
    </w:p>
    <w:p>
      <w:pPr>
        <w:pStyle w:val="ListBullet"/>
      </w:pPr>
      <w:r>
        <w:t>Significant: Industrial production (INDPRO), 10-Year Treasury yield change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 (lagged)</w:t>
            </w:r>
          </w:p>
        </w:tc>
        <w:tc>
          <w:tcPr>
            <w:tcW w:type="dxa" w:w="2880"/>
          </w:tcPr>
          <w:p>
            <w:r>
              <w:t>Coefficient</w:t>
            </w:r>
          </w:p>
        </w:tc>
        <w:tc>
          <w:tcPr>
            <w:tcW w:type="dxa" w:w="2880"/>
          </w:tcPr>
          <w:p>
            <w:r>
              <w:t>HAC p-value</w:t>
            </w:r>
          </w:p>
        </w:tc>
      </w:tr>
      <w:tr>
        <w:tc>
          <w:tcPr>
            <w:tcW w:type="dxa" w:w="2880"/>
          </w:tcPr>
          <w:p>
            <w:r>
              <w:t>INDPRO</w:t>
            </w:r>
          </w:p>
        </w:tc>
        <w:tc>
          <w:tcPr>
            <w:tcW w:type="dxa" w:w="2880"/>
          </w:tcPr>
          <w:p>
            <w:r>
              <w:t>-1.8871</w:t>
            </w:r>
          </w:p>
        </w:tc>
        <w:tc>
          <w:tcPr>
            <w:tcW w:type="dxa" w:w="2880"/>
          </w:tcPr>
          <w:p>
            <w:r>
              <w:t>0.2846 (not significant under HAC)</w:t>
            </w:r>
          </w:p>
        </w:tc>
      </w:tr>
      <w:tr>
        <w:tc>
          <w:tcPr>
            <w:tcW w:type="dxa" w:w="2880"/>
          </w:tcPr>
          <w:p>
            <w:r>
              <w:t>10Y Treasury Δ</w:t>
            </w:r>
          </w:p>
        </w:tc>
        <w:tc>
          <w:tcPr>
            <w:tcW w:type="dxa" w:w="2880"/>
          </w:tcPr>
          <w:p>
            <w:r>
              <w:t>5.8992</w:t>
            </w:r>
          </w:p>
        </w:tc>
        <w:tc>
          <w:tcPr>
            <w:tcW w:type="dxa" w:w="2880"/>
          </w:tcPr>
          <w:p>
            <w:r>
              <w:t>0.0042</w:t>
            </w:r>
          </w:p>
        </w:tc>
      </w:tr>
    </w:tbl>
    <w:p/>
    <w:p>
      <w:r>
        <w:t>Weekly reduced model (5 significant lagged predictors):</w:t>
      </w:r>
    </w:p>
    <w:p>
      <w:pPr>
        <w:pStyle w:val="ListBullet"/>
      </w:pPr>
      <w:r>
        <w:t>Adj. R² = 0.0175 (~1.7% of variation explained)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 (lagged)</w:t>
            </w:r>
          </w:p>
        </w:tc>
        <w:tc>
          <w:tcPr>
            <w:tcW w:type="dxa" w:w="2880"/>
          </w:tcPr>
          <w:p>
            <w:r>
              <w:t>Coefficient</w:t>
            </w:r>
          </w:p>
        </w:tc>
        <w:tc>
          <w:tcPr>
            <w:tcW w:type="dxa" w:w="2880"/>
          </w:tcPr>
          <w:p>
            <w:r>
              <w:t>HAC p-value</w:t>
            </w:r>
          </w:p>
        </w:tc>
      </w:tr>
      <w:tr>
        <w:tc>
          <w:tcPr>
            <w:tcW w:type="dxa" w:w="2880"/>
          </w:tcPr>
          <w:p>
            <w:r>
              <w:t>Copper</w:t>
            </w:r>
          </w:p>
        </w:tc>
        <w:tc>
          <w:tcPr>
            <w:tcW w:type="dxa" w:w="2880"/>
          </w:tcPr>
          <w:p>
            <w:r>
              <w:t>-0.0437</w:t>
            </w:r>
          </w:p>
        </w:tc>
        <w:tc>
          <w:tcPr>
            <w:tcW w:type="dxa" w:w="2880"/>
          </w:tcPr>
          <w:p>
            <w:r>
              <w:t>0.5572</w:t>
            </w:r>
          </w:p>
        </w:tc>
      </w:tr>
      <w:tr>
        <w:tc>
          <w:tcPr>
            <w:tcW w:type="dxa" w:w="2880"/>
          </w:tcPr>
          <w:p>
            <w:r>
              <w:t>10Y Treasury Δ%</w:t>
            </w:r>
          </w:p>
        </w:tc>
        <w:tc>
          <w:tcPr>
            <w:tcW w:type="dxa" w:w="2880"/>
          </w:tcPr>
          <w:p>
            <w:r>
              <w:t>-0.2039</w:t>
            </w:r>
          </w:p>
        </w:tc>
        <w:tc>
          <w:tcPr>
            <w:tcW w:type="dxa" w:w="2880"/>
          </w:tcPr>
          <w:p>
            <w:r>
              <w:t>0.0445</w:t>
            </w:r>
          </w:p>
        </w:tc>
      </w:tr>
      <w:tr>
        <w:tc>
          <w:tcPr>
            <w:tcW w:type="dxa" w:w="2880"/>
          </w:tcPr>
          <w:p>
            <w:r>
              <w:t>Refinery utilization</w:t>
            </w:r>
          </w:p>
        </w:tc>
        <w:tc>
          <w:tcPr>
            <w:tcW w:type="dxa" w:w="2880"/>
          </w:tcPr>
          <w:p>
            <w:r>
              <w:t>-0.0012</w:t>
            </w:r>
          </w:p>
        </w:tc>
        <w:tc>
          <w:tcPr>
            <w:tcW w:type="dxa" w:w="2880"/>
          </w:tcPr>
          <w:p>
            <w:r>
              <w:t>0.0422</w:t>
            </w:r>
          </w:p>
        </w:tc>
      </w:tr>
      <w:tr>
        <w:tc>
          <w:tcPr>
            <w:tcW w:type="dxa" w:w="2880"/>
          </w:tcPr>
          <w:p>
            <w:r>
              <w:t>Crude stocks excl. SPR Δ</w:t>
            </w:r>
          </w:p>
        </w:tc>
        <w:tc>
          <w:tcPr>
            <w:tcW w:type="dxa" w:w="2880"/>
          </w:tcPr>
          <w:p>
            <w:r>
              <w:t>-0.3603</w:t>
            </w:r>
          </w:p>
        </w:tc>
        <w:tc>
          <w:tcPr>
            <w:tcW w:type="dxa" w:w="2880"/>
          </w:tcPr>
          <w:p>
            <w:r>
              <w:t>0.0423</w:t>
            </w:r>
          </w:p>
        </w:tc>
      </w:tr>
      <w:tr>
        <w:tc>
          <w:tcPr>
            <w:tcW w:type="dxa" w:w="2880"/>
          </w:tcPr>
          <w:p>
            <w:r>
              <w:t>10Y Treasury Δ (diff)</w:t>
            </w:r>
          </w:p>
        </w:tc>
        <w:tc>
          <w:tcPr>
            <w:tcW w:type="dxa" w:w="2880"/>
          </w:tcPr>
          <w:p>
            <w:r>
              <w:t>0.0788</w:t>
            </w:r>
          </w:p>
        </w:tc>
        <w:tc>
          <w:tcPr>
            <w:tcW w:type="dxa" w:w="2880"/>
          </w:tcPr>
          <w:p>
            <w:r>
              <w:t>0.0405</w:t>
            </w:r>
          </w:p>
        </w:tc>
      </w:tr>
    </w:tbl>
    <w:p/>
    <w:p>
      <w:pPr>
        <w:pStyle w:val="ListBullet"/>
      </w:pPr>
      <w:r>
        <w:t>Low R² with lagged predictors is expected and important — it shows WTI returns are hard to predict from prior-period information, consistent with market efficiency. The value of this model is in identifying WHICH lagged variables carry any signal at all, and motivating the GARCH analysis of volatility.</w:t>
      </w:r>
    </w:p>
    <w:p>
      <w:pPr>
        <w:pStyle w:val="Heading1"/>
      </w:pPr>
      <w:r>
        <w:rPr>
          <w:rFonts w:ascii="Times New Roman" w:hAnsi="Times New Roman"/>
        </w:rPr>
        <w:t>4. Testing the 5 CLRM Assumptions</w:t>
      </w:r>
    </w:p>
    <w:p>
      <w:r>
        <w:t>OLS is unbiased and efficient only if the classical assumptions hold. We test each on the residuals.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Assumption</w:t>
            </w:r>
          </w:p>
        </w:tc>
        <w:tc>
          <w:tcPr>
            <w:tcW w:type="dxa" w:w="1440"/>
          </w:tcPr>
          <w:p>
            <w:r>
              <w:t>Notation</w:t>
            </w:r>
          </w:p>
        </w:tc>
        <w:tc>
          <w:tcPr>
            <w:tcW w:type="dxa" w:w="1440"/>
          </w:tcPr>
          <w:p>
            <w:r>
              <w:t>Test</w:t>
            </w:r>
          </w:p>
        </w:tc>
        <w:tc>
          <w:tcPr>
            <w:tcW w:type="dxa" w:w="1440"/>
          </w:tcPr>
          <w:p>
            <w:r>
              <w:t>Monthly</w:t>
            </w:r>
          </w:p>
        </w:tc>
        <w:tc>
          <w:tcPr>
            <w:tcW w:type="dxa" w:w="1440"/>
          </w:tcPr>
          <w:p>
            <w:r>
              <w:t>Weekly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Zero mean errors</w:t>
            </w:r>
          </w:p>
        </w:tc>
        <w:tc>
          <w:tcPr>
            <w:tcW w:type="dxa" w:w="1440"/>
          </w:tcPr>
          <w:p>
            <w:r>
              <w:t>E(εₜ) = 0</w:t>
            </w:r>
          </w:p>
        </w:tc>
        <w:tc>
          <w:tcPr>
            <w:tcW w:type="dxa" w:w="1440"/>
          </w:tcPr>
          <w:p>
            <w:r>
              <w:t>Constant included</w:t>
            </w:r>
          </w:p>
        </w:tc>
        <w:tc>
          <w:tcPr>
            <w:tcW w:type="dxa" w:w="1440"/>
          </w:tcPr>
          <w:p>
            <w:r>
              <w:t>✓</w:t>
            </w:r>
          </w:p>
        </w:tc>
        <w:tc>
          <w:tcPr>
            <w:tcW w:type="dxa" w:w="1440"/>
          </w:tcPr>
          <w:p>
            <w:r>
              <w:t>✓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Constant variance</w:t>
            </w:r>
          </w:p>
        </w:tc>
        <w:tc>
          <w:tcPr>
            <w:tcW w:type="dxa" w:w="1440"/>
          </w:tcPr>
          <w:p>
            <w:r>
              <w:t>Var(εₜ) = σ²</w:t>
            </w:r>
          </w:p>
        </w:tc>
        <w:tc>
          <w:tcPr>
            <w:tcW w:type="dxa" w:w="1440"/>
          </w:tcPr>
          <w:p>
            <w:r>
              <w:t>Breusch-Pagan</w:t>
            </w:r>
          </w:p>
        </w:tc>
        <w:tc>
          <w:tcPr>
            <w:tcW w:type="dxa" w:w="1440"/>
          </w:tcPr>
          <w:p>
            <w:r>
              <w:t>✗ p=0.000</w:t>
            </w:r>
          </w:p>
        </w:tc>
        <w:tc>
          <w:tcPr>
            <w:tcW w:type="dxa" w:w="1440"/>
          </w:tcPr>
          <w:p>
            <w:r>
              <w:t>✗ p=0.000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No autocorrelation</w:t>
            </w:r>
          </w:p>
        </w:tc>
        <w:tc>
          <w:tcPr>
            <w:tcW w:type="dxa" w:w="1440"/>
          </w:tcPr>
          <w:p>
            <w:r>
              <w:t>Cov(εᵢ,εⱼ) = 0</w:t>
            </w:r>
          </w:p>
        </w:tc>
        <w:tc>
          <w:tcPr>
            <w:tcW w:type="dxa" w:w="1440"/>
          </w:tcPr>
          <w:p>
            <w:r>
              <w:t>DW / Breusch-Godfrey</w:t>
            </w:r>
          </w:p>
        </w:tc>
        <w:tc>
          <w:tcPr>
            <w:tcW w:type="dxa" w:w="1440"/>
          </w:tcPr>
          <w:p>
            <w:r>
              <w:t>✓ DW=1.81, BG p=0.08</w:t>
            </w:r>
          </w:p>
        </w:tc>
        <w:tc>
          <w:tcPr>
            <w:tcW w:type="dxa" w:w="1440"/>
          </w:tcPr>
          <w:p>
            <w:r>
              <w:t>✓ DW=1.93, BG p=0.07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Exogeneity</w:t>
            </w:r>
          </w:p>
        </w:tc>
        <w:tc>
          <w:tcPr>
            <w:tcW w:type="dxa" w:w="1440"/>
          </w:tcPr>
          <w:p>
            <w:r>
              <w:t>Cov(xₜ,εₜ) = 0</w:t>
            </w:r>
          </w:p>
        </w:tc>
        <w:tc>
          <w:tcPr>
            <w:tcW w:type="dxa" w:w="1440"/>
          </w:tcPr>
          <w:p>
            <w:r>
              <w:t>Lagged predictors</w:t>
            </w:r>
          </w:p>
        </w:tc>
        <w:tc>
          <w:tcPr>
            <w:tcW w:type="dxa" w:w="1440"/>
          </w:tcPr>
          <w:p>
            <w:r>
              <w:t>✓ by construction</w:t>
            </w:r>
          </w:p>
        </w:tc>
        <w:tc>
          <w:tcPr>
            <w:tcW w:type="dxa" w:w="1440"/>
          </w:tcPr>
          <w:p>
            <w:r>
              <w:t>✓ by construction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Normality</w:t>
            </w:r>
          </w:p>
        </w:tc>
        <w:tc>
          <w:tcPr>
            <w:tcW w:type="dxa" w:w="1440"/>
          </w:tcPr>
          <w:p>
            <w:r>
              <w:t>εₜ ~ N(0,σ²)</w:t>
            </w:r>
          </w:p>
        </w:tc>
        <w:tc>
          <w:tcPr>
            <w:tcW w:type="dxa" w:w="1440"/>
          </w:tcPr>
          <w:p>
            <w:r>
              <w:t>Jarque-Bera</w:t>
            </w:r>
          </w:p>
        </w:tc>
        <w:tc>
          <w:tcPr>
            <w:tcW w:type="dxa" w:w="1440"/>
          </w:tcPr>
          <w:p>
            <w:r>
              <w:t>✗ JB=515.9</w:t>
            </w:r>
          </w:p>
        </w:tc>
        <w:tc>
          <w:tcPr>
            <w:tcW w:type="dxa" w:w="1440"/>
          </w:tcPr>
          <w:p>
            <w:r>
              <w:t>✗ JB=927.2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Assumption 1: E(εₜ) = 0</w:t>
      </w:r>
    </w:p>
    <w:p>
      <w:pPr>
        <w:pStyle w:val="ListBullet"/>
      </w:pPr>
      <w:r>
        <w:t>Satisfied by including a constant term in the regression.</w:t>
      </w:r>
    </w:p>
    <w:p>
      <w:pPr>
        <w:pStyle w:val="Heading2"/>
      </w:pPr>
      <w:r>
        <w:rPr>
          <w:rFonts w:ascii="Times New Roman" w:hAnsi="Times New Roman"/>
        </w:rPr>
        <w:t>Assumption 2: Var(εₜ) = σ² (Homoskedasticity)</w:t>
      </w:r>
    </w:p>
    <w:p>
      <w:pPr>
        <w:pStyle w:val="ListBullet"/>
      </w:pPr>
      <w:r>
        <w:t>Breusch-Pagan test: p ≈ 0.000 at both frequencies → heteroskedasticity detected.</w:t>
      </w:r>
    </w:p>
    <w:p>
      <w:pPr>
        <w:pStyle w:val="ListBullet"/>
      </w:pPr>
      <w:r>
        <w:t>Fix: Report Newey-West (HAC) standard errors for robust inference.</w:t>
      </w:r>
    </w:p>
    <w:p>
      <w:pPr>
        <w:pStyle w:val="ListBullet"/>
      </w:pPr>
      <w:r>
        <w:t>This also motivates GARCH modeling (Section 5).</w:t>
      </w:r>
    </w:p>
    <w:p>
      <w:pPr>
        <w:pStyle w:val="Heading2"/>
      </w:pPr>
      <w:r>
        <w:rPr>
          <w:rFonts w:ascii="Times New Roman" w:hAnsi="Times New Roman"/>
        </w:rPr>
        <w:t>Assumption 3: Cov(εᵢ, εⱼ) = 0 (No Autocorrelation)</w:t>
      </w:r>
    </w:p>
    <w:p>
      <w:pPr>
        <w:pStyle w:val="ListBullet"/>
      </w:pPr>
      <w:r>
        <w:t>Monthly: Durbin-Watson = 1.81, Breusch-Godfrey p = 0.082 → no significant autocorrelation at 5%.</w:t>
      </w:r>
    </w:p>
    <w:p>
      <w:pPr>
        <w:pStyle w:val="ListBullet"/>
      </w:pPr>
      <w:r>
        <w:t>Weekly: DW = 1.93, BG p = 0.074 → also not significant at 5%.</w:t>
      </w:r>
    </w:p>
    <w:p>
      <w:r>
        <w:t>[Insert ACF plot of residuals from notebook]</w:t>
      </w:r>
    </w:p>
    <w:p>
      <w:pPr>
        <w:pStyle w:val="Heading2"/>
      </w:pPr>
      <w:r>
        <w:rPr>
          <w:rFonts w:ascii="Times New Roman" w:hAnsi="Times New Roman"/>
        </w:rPr>
        <w:t>Assumption 4: Cov(xₜ, εₜ) = 0 (Exogeneity)</w:t>
      </w:r>
    </w:p>
    <w:p>
      <w:pPr>
        <w:pStyle w:val="ListBullet"/>
      </w:pPr>
      <w:r>
        <w:t>Satisfied by construction: all predictors are lagged one period (t-1), so they are predetermined with respect to the current error term.</w:t>
      </w:r>
    </w:p>
    <w:p>
      <w:pPr>
        <w:pStyle w:val="Heading2"/>
      </w:pPr>
      <w:r>
        <w:rPr>
          <w:rFonts w:ascii="Times New Roman" w:hAnsi="Times New Roman"/>
        </w:rPr>
        <w:t>Assumption 5: εₜ ~ N(0, σ²) (Normality)</w:t>
      </w:r>
    </w:p>
    <w:p>
      <w:pPr>
        <w:pStyle w:val="ListBullet"/>
      </w:pPr>
      <w:r>
        <w:t>Jarque-Bera: Monthly JB = 515.9 (p ≈ 0), Weekly JB = 927.2 (p ≈ 0) → rejected at both frequencies.</w:t>
      </w:r>
    </w:p>
    <w:p>
      <w:pPr>
        <w:pStyle w:val="ListBullet"/>
      </w:pPr>
      <w:r>
        <w:t>Fat tails (excess kurtosis) — extreme returns more frequent than normal distribution predicts.</w:t>
      </w:r>
    </w:p>
    <w:p>
      <w:pPr>
        <w:pStyle w:val="ListBullet"/>
      </w:pPr>
      <w:r>
        <w:t>Fix: Use Student-t distribution in GARCH model.</w:t>
      </w:r>
    </w:p>
    <w:p>
      <w:r>
        <w:t>[Insert histogram of residuals with normal overlay]</w:t>
      </w:r>
    </w:p>
    <w:p>
      <w:pPr>
        <w:pStyle w:val="Heading2"/>
      </w:pPr>
      <w:r>
        <w:rPr>
          <w:rFonts w:ascii="Times New Roman" w:hAnsi="Times New Roman"/>
        </w:rPr>
        <w:t>Additional: ARCH-LM Test</w:t>
      </w:r>
    </w:p>
    <w:p>
      <w:pPr>
        <w:pStyle w:val="ListBullet"/>
      </w:pPr>
      <w:r>
        <w:t>Tests for volatility clustering (time-varying conditional variance).</w:t>
      </w:r>
    </w:p>
    <w:p>
      <w:pPr>
        <w:pStyle w:val="ListBullet"/>
      </w:pPr>
      <w:r>
        <w:t>Monthly: p = 0.0000 → strong ARCH effects.</w:t>
      </w:r>
    </w:p>
    <w:p>
      <w:pPr>
        <w:pStyle w:val="ListBullet"/>
      </w:pPr>
      <w:r>
        <w:t>Weekly: p = 0.0000 → strong ARCH effects.</w:t>
      </w:r>
    </w:p>
    <w:p>
      <w:pPr>
        <w:pStyle w:val="ListBullet"/>
      </w:pPr>
      <w:r>
        <w:t>Fix: GARCH model — the key contribution of this analysis.</w:t>
      </w:r>
    </w:p>
    <w:p>
      <w:r>
        <w:t>[Insert squared residuals plot showing volatility clustering]</w:t>
      </w:r>
    </w:p>
    <w:p>
      <w:pPr>
        <w:pStyle w:val="Heading1"/>
      </w:pPr>
      <w:r>
        <w:rPr>
          <w:rFonts w:ascii="Times New Roman" w:hAnsi="Times New Roman"/>
        </w:rPr>
        <w:t>5. GARCH Model</w:t>
      </w:r>
    </w:p>
    <w:p>
      <w:r>
        <w:t>[Write ~1 page:]</w:t>
      </w:r>
    </w:p>
    <w:p>
      <w:pPr>
        <w:pStyle w:val="ListBullet"/>
      </w:pPr>
      <w:r>
        <w:t>Motivated by: Assumption 2 violation (heteroskedasticity) + ARCH effects.</w:t>
      </w:r>
    </w:p>
    <w:p>
      <w:pPr>
        <w:pStyle w:val="ListBullet"/>
      </w:pPr>
      <w:r>
        <w:t>Compared three specifications: GARCH(1,1), EGARCH(1,1), GJR-GARCH(1,1,1).</w:t>
      </w:r>
    </w:p>
    <w:p>
      <w:pPr>
        <w:pStyle w:val="ListBullet"/>
      </w:pPr>
      <w:r>
        <w:t>All use AR(1) mean equation + lagged regressors + Student-t innovations.</w:t>
      </w:r>
    </w:p>
    <w:p/>
    <w:p>
      <w:r>
        <w:t>Monthly — Selected: GJR-GARCH(1,1) (AIC = 3013.07)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AIC</w:t>
            </w:r>
          </w:p>
        </w:tc>
        <w:tc>
          <w:tcPr>
            <w:tcW w:type="dxa" w:w="2880"/>
          </w:tcPr>
          <w:p>
            <w:r>
              <w:t>Post-GARCH ARCH-LM p</w:t>
            </w:r>
          </w:p>
        </w:tc>
      </w:tr>
      <w:tr>
        <w:tc>
          <w:tcPr>
            <w:tcW w:type="dxa" w:w="2880"/>
          </w:tcPr>
          <w:p>
            <w:r>
              <w:t>GARCH(1,1)</w:t>
            </w:r>
          </w:p>
        </w:tc>
        <w:tc>
          <w:tcPr>
            <w:tcW w:type="dxa" w:w="2880"/>
          </w:tcPr>
          <w:p>
            <w:r>
              <w:t>3015.92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</w:tr>
      <w:tr>
        <w:tc>
          <w:tcPr>
            <w:tcW w:type="dxa" w:w="2880"/>
          </w:tcPr>
          <w:p>
            <w:r>
              <w:t>EGARCH(1,1)</w:t>
            </w:r>
          </w:p>
        </w:tc>
        <w:tc>
          <w:tcPr>
            <w:tcW w:type="dxa" w:w="2880"/>
          </w:tcPr>
          <w:p>
            <w:r>
              <w:t>3014.51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</w:tr>
      <w:tr>
        <w:tc>
          <w:tcPr>
            <w:tcW w:type="dxa" w:w="2880"/>
          </w:tcPr>
          <w:p>
            <w:r>
              <w:t>GJR-GARCH(1,1)</w:t>
            </w:r>
          </w:p>
        </w:tc>
        <w:tc>
          <w:tcPr>
            <w:tcW w:type="dxa" w:w="2880"/>
          </w:tcPr>
          <w:p>
            <w:r>
              <w:t>3013.07</w:t>
            </w:r>
          </w:p>
        </w:tc>
        <w:tc>
          <w:tcPr>
            <w:tcW w:type="dxa" w:w="2880"/>
          </w:tcPr>
          <w:p>
            <w:r>
              <w:t>0.0003</w:t>
            </w:r>
          </w:p>
        </w:tc>
      </w:tr>
    </w:tbl>
    <w:p>
      <w:pPr>
        <w:pStyle w:val="ListBullet"/>
      </w:pPr>
      <w:r>
        <w:t>Persistence (α + β + ½γ) = 0.8764 — volatility shocks are persistent.</w:t>
      </w:r>
    </w:p>
    <w:p>
      <w:pPr>
        <w:pStyle w:val="ListBullet"/>
      </w:pPr>
      <w:r>
        <w:t>Student-t df ≈ 11.0.</w:t>
      </w:r>
    </w:p>
    <w:p>
      <w:pPr>
        <w:pStyle w:val="ListBullet"/>
      </w:pPr>
      <w:r>
        <w:t>Note: post-GARCH ARCH-LM still significant — some residual effects remain.</w:t>
      </w:r>
    </w:p>
    <w:p/>
    <w:p>
      <w:r>
        <w:t>Weekly — Selected: GARCH(1,1) by AIC, but EGARCH(1,1) passes ARCH-LM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AIC</w:t>
            </w:r>
          </w:p>
        </w:tc>
        <w:tc>
          <w:tcPr>
            <w:tcW w:type="dxa" w:w="2880"/>
          </w:tcPr>
          <w:p>
            <w:r>
              <w:t>Post-GARCH ARCH-LM p</w:t>
            </w:r>
          </w:p>
        </w:tc>
      </w:tr>
      <w:tr>
        <w:tc>
          <w:tcPr>
            <w:tcW w:type="dxa" w:w="2880"/>
          </w:tcPr>
          <w:p>
            <w:r>
              <w:t>GARCH(1,1)</w:t>
            </w:r>
          </w:p>
        </w:tc>
        <w:tc>
          <w:tcPr>
            <w:tcW w:type="dxa" w:w="2880"/>
          </w:tcPr>
          <w:p>
            <w:r>
              <w:t>[from nb]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</w:tr>
      <w:tr>
        <w:tc>
          <w:tcPr>
            <w:tcW w:type="dxa" w:w="2880"/>
          </w:tcPr>
          <w:p>
            <w:r>
              <w:t>EGARCH(1,1)</w:t>
            </w:r>
          </w:p>
        </w:tc>
        <w:tc>
          <w:tcPr>
            <w:tcW w:type="dxa" w:w="2880"/>
          </w:tcPr>
          <w:p>
            <w:r>
              <w:t>[from nb]</w:t>
            </w:r>
          </w:p>
        </w:tc>
        <w:tc>
          <w:tcPr>
            <w:tcW w:type="dxa" w:w="2880"/>
          </w:tcPr>
          <w:p>
            <w:r>
              <w:t>0.6517 ✓</w:t>
            </w:r>
          </w:p>
        </w:tc>
      </w:tr>
      <w:tr>
        <w:tc>
          <w:tcPr>
            <w:tcW w:type="dxa" w:w="2880"/>
          </w:tcPr>
          <w:p>
            <w:r>
              <w:t>GJR-GARCH(1,1)</w:t>
            </w:r>
          </w:p>
        </w:tc>
        <w:tc>
          <w:tcPr>
            <w:tcW w:type="dxa" w:w="2880"/>
          </w:tcPr>
          <w:p>
            <w:r>
              <w:t>[from nb]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</w:tr>
    </w:tbl>
    <w:p>
      <w:pPr>
        <w:pStyle w:val="ListBullet"/>
      </w:pPr>
      <w:r>
        <w:t>Persistence = 0.6439 — lower than monthly.</w:t>
      </w:r>
    </w:p>
    <w:p>
      <w:pPr>
        <w:pStyle w:val="ListBullet"/>
      </w:pPr>
      <w:r>
        <w:t>EGARCH passes post-estimation diagnostics — worth discussing as the better-specified model despite slightly higher AIC.</w:t>
      </w:r>
    </w:p>
    <w:p/>
    <w:p>
      <w:r>
        <w:t>[Insert conditional volatility plot — note spikes at 2008, COVID, 2022]</w:t>
      </w:r>
    </w:p>
    <w:p>
      <w:pPr>
        <w:pStyle w:val="Heading1"/>
      </w:pPr>
      <w:r>
        <w:rPr>
          <w:rFonts w:ascii="Times New Roman" w:hAnsi="Times New Roman"/>
        </w:rPr>
        <w:t>6. Monthly vs. Weekly Comparison</w:t>
      </w:r>
    </w:p>
    <w:p>
      <w:r>
        <w:t>[Write ~0.5 page:]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Monthly</w:t>
            </w:r>
          </w:p>
        </w:tc>
        <w:tc>
          <w:tcPr>
            <w:tcW w:type="dxa" w:w="2880"/>
          </w:tcPr>
          <w:p>
            <w:r>
              <w:t>Weekly</w:t>
            </w:r>
          </w:p>
        </w:tc>
      </w:tr>
      <w:tr>
        <w:tc>
          <w:tcPr>
            <w:tcW w:type="dxa" w:w="2880"/>
          </w:tcPr>
          <w:p>
            <w:r>
              <w:t>Observations</w:t>
            </w:r>
          </w:p>
        </w:tc>
        <w:tc>
          <w:tcPr>
            <w:tcW w:type="dxa" w:w="2880"/>
          </w:tcPr>
          <w:p>
            <w:r>
              <w:t>419</w:t>
            </w:r>
          </w:p>
        </w:tc>
        <w:tc>
          <w:tcPr>
            <w:tcW w:type="dxa" w:w="2880"/>
          </w:tcPr>
          <w:p>
            <w:r>
              <w:t>972</w:t>
            </w:r>
          </w:p>
        </w:tc>
      </w:tr>
      <w:tr>
        <w:tc>
          <w:tcPr>
            <w:tcW w:type="dxa" w:w="2880"/>
          </w:tcPr>
          <w:p>
            <w:r>
              <w:t>OLS Adj. R² (lagged)</w:t>
            </w:r>
          </w:p>
        </w:tc>
        <w:tc>
          <w:tcPr>
            <w:tcW w:type="dxa" w:w="2880"/>
          </w:tcPr>
          <w:p>
            <w:r>
              <w:t>0.053 (5.3%)</w:t>
            </w:r>
          </w:p>
        </w:tc>
        <w:tc>
          <w:tcPr>
            <w:tcW w:type="dxa" w:w="2880"/>
          </w:tcPr>
          <w:p>
            <w:r>
              <w:t>0.018 (1.7%)</w:t>
            </w:r>
          </w:p>
        </w:tc>
      </w:tr>
      <w:tr>
        <w:tc>
          <w:tcPr>
            <w:tcW w:type="dxa" w:w="2880"/>
          </w:tcPr>
          <w:p>
            <w:r>
              <w:t>Significant lagged predictors</w:t>
            </w:r>
          </w:p>
        </w:tc>
        <w:tc>
          <w:tcPr>
            <w:tcW w:type="dxa" w:w="2880"/>
          </w:tcPr>
          <w:p>
            <w:r>
              <w:t>INDPRO, 10Y Treasury Δ</w:t>
            </w:r>
          </w:p>
        </w:tc>
        <w:tc>
          <w:tcPr>
            <w:tcW w:type="dxa" w:w="2880"/>
          </w:tcPr>
          <w:p>
            <w:r>
              <w:t>Copper, 10Y, refinery util, crude stocks, 10Y diff</w:t>
            </w:r>
          </w:p>
        </w:tc>
      </w:tr>
      <w:tr>
        <w:tc>
          <w:tcPr>
            <w:tcW w:type="dxa" w:w="2880"/>
          </w:tcPr>
          <w:p>
            <w:r>
              <w:t>ARCH-LM p (OLS residuals)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  <w:tc>
          <w:tcPr>
            <w:tcW w:type="dxa" w:w="2880"/>
          </w:tcPr>
          <w:p>
            <w:r>
              <w:t>0.0000</w:t>
            </w:r>
          </w:p>
        </w:tc>
      </w:tr>
      <w:tr>
        <w:tc>
          <w:tcPr>
            <w:tcW w:type="dxa" w:w="2880"/>
          </w:tcPr>
          <w:p>
            <w:r>
              <w:t>Selected GARCH</w:t>
            </w:r>
          </w:p>
        </w:tc>
        <w:tc>
          <w:tcPr>
            <w:tcW w:type="dxa" w:w="2880"/>
          </w:tcPr>
          <w:p>
            <w:r>
              <w:t>GJR-GARCH(1,1)</w:t>
            </w:r>
          </w:p>
        </w:tc>
        <w:tc>
          <w:tcPr>
            <w:tcW w:type="dxa" w:w="2880"/>
          </w:tcPr>
          <w:p>
            <w:r>
              <w:t>GARCH(1,1)</w:t>
            </w:r>
          </w:p>
        </w:tc>
      </w:tr>
      <w:tr>
        <w:tc>
          <w:tcPr>
            <w:tcW w:type="dxa" w:w="2880"/>
          </w:tcPr>
          <w:p>
            <w:r>
              <w:t>Volatility persistence</w:t>
            </w:r>
          </w:p>
        </w:tc>
        <w:tc>
          <w:tcPr>
            <w:tcW w:type="dxa" w:w="2880"/>
          </w:tcPr>
          <w:p>
            <w:r>
              <w:t>0.8764</w:t>
            </w:r>
          </w:p>
        </w:tc>
        <w:tc>
          <w:tcPr>
            <w:tcW w:type="dxa" w:w="2880"/>
          </w:tcPr>
          <w:p>
            <w:r>
              <w:t>0.6439</w:t>
            </w:r>
          </w:p>
        </w:tc>
      </w:tr>
    </w:tbl>
    <w:p/>
    <w:p>
      <w:pPr>
        <w:pStyle w:val="ListBullet"/>
      </w:pPr>
      <w:r>
        <w:t>Both frequencies show low R² — WTI returns are hard to predict from lagged information. This is consistent with semi-strong form market efficiency.</w:t>
      </w:r>
    </w:p>
    <w:p>
      <w:pPr>
        <w:pStyle w:val="ListBullet"/>
      </w:pPr>
      <w:r>
        <w:t>Treasury yield changes are significant at both frequencies — suggesting interest rate dynamics carry a genuine lagged signal for oil prices.</w:t>
      </w:r>
    </w:p>
    <w:p>
      <w:pPr>
        <w:pStyle w:val="ListBullet"/>
      </w:pPr>
      <w:r>
        <w:t>ARCH effects are strong at both frequencies — volatility is the predictable component.</w:t>
      </w:r>
    </w:p>
    <w:p>
      <w:pPr>
        <w:pStyle w:val="ListBullet"/>
      </w:pPr>
      <w:r>
        <w:t>Monthly persistence higher (0.88 vs 0.64) — volatility shocks last longer at lower frequency.</w:t>
      </w:r>
    </w:p>
    <w:p>
      <w:pPr>
        <w:pStyle w:val="Heading1"/>
      </w:pPr>
      <w:r>
        <w:rPr>
          <w:rFonts w:ascii="Times New Roman" w:hAnsi="Times New Roman"/>
        </w:rPr>
        <w:t>7. Conclusion</w:t>
      </w:r>
    </w:p>
    <w:p>
      <w:r>
        <w:t>[Write ~0.5 page:]</w:t>
      </w:r>
    </w:p>
    <w:p>
      <w:pPr>
        <w:pStyle w:val="ListBullet"/>
      </w:pPr>
      <w:r>
        <w:t>With lagged predictors, mean equation R² is low (~5% monthly, ~2% weekly) — WTI returns are largely unpredictable from prior-period data, consistent with efficient markets.</w:t>
      </w:r>
    </w:p>
    <w:p>
      <w:pPr>
        <w:pStyle w:val="ListBullet"/>
      </w:pPr>
      <w:r>
        <w:t>However, the GARCH variance equation reveals that WTI VOLATILITY is highly predictable and persistent. This is the key finding.</w:t>
      </w:r>
    </w:p>
    <w:p>
      <w:pPr>
        <w:pStyle w:val="ListBullet"/>
      </w:pPr>
      <w:r>
        <w:t>Practical value: even if you can't predict price direction, you can forecast risk magnitude — essential for hedging and risk management.</w:t>
      </w:r>
    </w:p>
    <w:p>
      <w:pPr>
        <w:pStyle w:val="ListBullet"/>
      </w:pPr>
      <w:r>
        <w:t>Treasury yield changes emerge as the most robust lagged predictor across both frequencies.</w:t>
      </w:r>
    </w:p>
    <w:p>
      <w:pPr>
        <w:pStyle w:val="ListBullet"/>
      </w:pPr>
      <w:r>
        <w:t>GJR-GARCH captures asymmetric volatility at monthly frequency; EGARCH better addresses weekly volatility dynamics.</w:t>
      </w:r>
    </w:p>
    <w:p>
      <w:pPr>
        <w:pStyle w:val="ListBullet"/>
      </w:pPr>
      <w:r>
        <w:t>Limitation: additional lag structures (2+ periods) or VAR models could improve mean-equation fit.</w:t>
      </w:r>
    </w:p>
    <w:p>
      <w:pPr>
        <w:pStyle w:val="ListBullet"/>
      </w:pPr>
      <w:r>
        <w:t>Future research: out-of-sample volatility forecasting, structural break tests (2008, COVID), regime-switching GARCH.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</w:rPr>
        <w:t>8. Code Appendix</w:t>
      </w:r>
    </w:p>
    <w:p>
      <w:r>
        <w:t>[Paste key code blocks from analysis.ipynb — see example paper for format.]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