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4dcbe8a167f8958857a02e48a51a5a85d679e0d"/>
    <w:p>
      <w:pPr>
        <w:pStyle w:val="Heading1"/>
      </w:pPr>
      <w:r>
        <w:t xml:space="preserve">Manual QA Retest Report – Bearing App (02/09/2026)</w:t>
      </w:r>
    </w:p>
    <w:bookmarkStart w:id="22" w:name="metadata"/>
    <w:p>
      <w:pPr>
        <w:pStyle w:val="Heading2"/>
      </w:pPr>
      <w:r>
        <w:t xml:space="preserve">Metadata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Value</w:t>
            </w:r>
          </w:p>
        </w:tc>
      </w:tr>
      <w:tr>
        <w:tc>
          <w:tcPr/>
          <w:p>
            <w:pPr>
              <w:pStyle w:val="Compact"/>
            </w:pPr>
            <w:r>
              <w:rPr>
                <w:b/>
                <w:bCs/>
              </w:rPr>
              <w:t xml:space="preserve">Date &amp; time</w:t>
            </w:r>
          </w:p>
        </w:tc>
        <w:tc>
          <w:tcPr/>
          <w:p>
            <w:pPr>
              <w:pStyle w:val="Compact"/>
            </w:pPr>
            <w:r>
              <w:t xml:space="preserve">09 Feb 2026, 11:10 AM (America/New_York)</w:t>
            </w:r>
          </w:p>
        </w:tc>
      </w:tr>
      <w:tr>
        <w:tc>
          <w:tcPr/>
          <w:p>
            <w:pPr>
              <w:pStyle w:val="Compact"/>
            </w:pPr>
            <w:r>
              <w:rPr>
                <w:b/>
                <w:bCs/>
              </w:rPr>
              <w:t xml:space="preserve">Application URL</w:t>
            </w:r>
          </w:p>
        </w:tc>
        <w:tc>
          <w:tcPr/>
          <w:p>
            <w:pPr>
              <w:pStyle w:val="Compact"/>
            </w:pPr>
            <w:hyperlink r:id="rId21">
              <w:r>
                <w:rPr>
                  <w:rStyle w:val="Hyperlink"/>
                </w:rPr>
                <w:t xml:space="preserve">https://bearing-app.vercel.app</w:t>
              </w:r>
            </w:hyperlink>
          </w:p>
        </w:tc>
      </w:tr>
      <w:tr>
        <w:tc>
          <w:tcPr/>
          <w:p>
            <w:pPr>
              <w:pStyle w:val="Compact"/>
            </w:pPr>
            <w:r>
              <w:rPr>
                <w:b/>
                <w:bCs/>
              </w:rPr>
              <w:t xml:space="preserve">Browser</w:t>
            </w:r>
          </w:p>
        </w:tc>
        <w:tc>
          <w:tcPr/>
          <w:p>
            <w:pPr>
              <w:pStyle w:val="Compact"/>
            </w:pPr>
            <w:r>
              <w:t xml:space="preserve">Chromium 130</w:t>
            </w:r>
          </w:p>
        </w:tc>
      </w:tr>
      <w:tr>
        <w:tc>
          <w:tcPr/>
          <w:p>
            <w:pPr>
              <w:pStyle w:val="Compact"/>
            </w:pPr>
            <w:r>
              <w:rPr>
                <w:b/>
                <w:bCs/>
              </w:rPr>
              <w:t xml:space="preserve">Screen size</w:t>
            </w:r>
          </w:p>
        </w:tc>
        <w:tc>
          <w:tcPr/>
          <w:p>
            <w:pPr>
              <w:pStyle w:val="Compact"/>
            </w:pPr>
            <w:r>
              <w:t xml:space="preserve">1365×768 (desktop)</w:t>
            </w:r>
          </w:p>
        </w:tc>
      </w:tr>
      <w:tr>
        <w:tc>
          <w:tcPr/>
          <w:p>
            <w:pPr>
              <w:pStyle w:val="Compact"/>
            </w:pPr>
            <w:r>
              <w:rPr>
                <w:b/>
                <w:bCs/>
              </w:rPr>
              <w:t xml:space="preserve">Role(s) tested</w:t>
            </w:r>
          </w:p>
        </w:tc>
        <w:tc>
          <w:tcPr/>
          <w:p>
            <w:pPr>
              <w:pStyle w:val="Compact"/>
            </w:pPr>
            <w:r>
              <w:t xml:space="preserve">Author (ry.metuge)</w:t>
            </w:r>
          </w:p>
        </w:tc>
      </w:tr>
    </w:tbl>
    <w:bookmarkEnd w:id="22"/>
    <w:bookmarkStart w:id="26" w:name="results-table"/>
    <w:p>
      <w:pPr>
        <w:pStyle w:val="Heading2"/>
      </w:pPr>
      <w:r>
        <w:t xml:space="preserve">Results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Case ID</w:t>
            </w:r>
          </w:p>
        </w:tc>
        <w:tc>
          <w:tcPr/>
          <w:p>
            <w:pPr>
              <w:pStyle w:val="Compact"/>
            </w:pPr>
            <w:r>
              <w:t xml:space="preserve">Status</w:t>
            </w:r>
          </w:p>
        </w:tc>
        <w:tc>
          <w:tcPr/>
          <w:p>
            <w:pPr>
              <w:pStyle w:val="Compact"/>
            </w:pPr>
            <w:r>
              <w:t xml:space="preserve">Notes</w:t>
            </w:r>
          </w:p>
        </w:tc>
      </w:tr>
      <w:tr>
        <w:tc>
          <w:tcPr/>
          <w:p>
            <w:pPr>
              <w:pStyle w:val="Compact"/>
            </w:pPr>
            <w:r>
              <w:rPr>
                <w:b/>
                <w:bCs/>
              </w:rPr>
              <w:t xml:space="preserve">8.9.1</w:t>
            </w:r>
            <w:r>
              <w:t xml:space="preserve"> </w:t>
            </w:r>
            <w:r>
              <w:t xml:space="preserve">– Entering and exiting fullscreen</w:t>
            </w:r>
          </w:p>
        </w:tc>
        <w:tc>
          <w:tcPr/>
          <w:p>
            <w:pPr>
              <w:pStyle w:val="Compact"/>
            </w:pPr>
            <w:r>
              <w:t xml:space="preserve">✅ Pass</w:t>
            </w:r>
          </w:p>
        </w:tc>
        <w:tc>
          <w:tcPr/>
          <w:p>
            <w:pPr>
              <w:pStyle w:val="Compact"/>
            </w:pPr>
            <w:r>
              <w:t xml:space="preserve">The fullscreen mode hid header and sidebar as before. A new floating bar now contains an</w:t>
            </w:r>
            <w:r>
              <w:t xml:space="preserve"> </w:t>
            </w:r>
            <w:r>
              <w:rPr>
                <w:b/>
                <w:bCs/>
              </w:rPr>
              <w:t xml:space="preserve">Exit</w:t>
            </w:r>
            <w:r>
              <w:t xml:space="preserve"> </w:t>
            </w:r>
            <w:r>
              <w:t xml:space="preserve">button with an</w:t>
            </w:r>
            <w:r>
              <w:t xml:space="preserve"> </w:t>
            </w:r>
            <w:r>
              <w:rPr>
                <w:rStyle w:val="VerbatimChar"/>
              </w:rPr>
              <w:t xml:space="preserve">×</w:t>
            </w:r>
            <w:r>
              <w:t xml:space="preserve"> </w:t>
            </w:r>
            <w:r>
              <w:t xml:space="preserve">icon. Clicking it exits fullscreen successfully</w:t>
            </w:r>
            <w:hyperlink r:id="rId23">
              <w:r>
                <w:rPr>
                  <w:rStyle w:val="Hyperlink"/>
                </w:rPr>
                <w:t xml:space="preserve">[1]</w:t>
              </w:r>
            </w:hyperlink>
            <w:r>
              <w:t xml:space="preserve">. Keyboard shortcuts (Esc and Ctrl+) also work.</w:t>
            </w:r>
          </w:p>
        </w:tc>
      </w:tr>
      <w:tr>
        <w:tc>
          <w:tcPr/>
          <w:p>
            <w:pPr>
              <w:pStyle w:val="Compact"/>
            </w:pPr>
            <w:r>
              <w:rPr>
                <w:b/>
                <w:bCs/>
              </w:rPr>
              <w:t xml:space="preserve">8.9.2</w:t>
            </w:r>
            <w:r>
              <w:t xml:space="preserve"> </w:t>
            </w:r>
            <w:r>
              <w:t xml:space="preserve">– Focus retained &amp; editing in fullscreen</w:t>
            </w:r>
          </w:p>
        </w:tc>
        <w:tc>
          <w:tcPr/>
          <w:p>
            <w:pPr>
              <w:pStyle w:val="Compact"/>
            </w:pPr>
            <w:r>
              <w:t xml:space="preserve">✅ Pass</w:t>
            </w:r>
          </w:p>
        </w:tc>
        <w:tc>
          <w:tcPr/>
          <w:p>
            <w:pPr>
              <w:pStyle w:val="Compact"/>
            </w:pPr>
            <w:r>
              <w:t xml:space="preserve">In fullscreen, the editor remained focused and scroll position was preserved on exit. Editing locked due to service requests still displays as expected.</w:t>
            </w:r>
          </w:p>
        </w:tc>
      </w:tr>
      <w:tr>
        <w:tc>
          <w:tcPr/>
          <w:p>
            <w:pPr>
              <w:pStyle w:val="Compact"/>
            </w:pPr>
            <w:r>
              <w:rPr>
                <w:b/>
                <w:bCs/>
              </w:rPr>
              <w:t xml:space="preserve">8.11.1</w:t>
            </w:r>
            <w:r>
              <w:t xml:space="preserve"> </w:t>
            </w:r>
            <w:r>
              <w:t xml:space="preserve">– ISBN modal opens from Services with manuscript pre-filled</w:t>
            </w:r>
          </w:p>
        </w:tc>
        <w:tc>
          <w:tcPr/>
          <w:p>
            <w:pPr>
              <w:pStyle w:val="Compact"/>
            </w:pPr>
            <w:r>
              <w:t xml:space="preserve">✅ Pass</w:t>
            </w:r>
          </w:p>
        </w:tc>
        <w:tc>
          <w:tcPr/>
          <w:p>
            <w:pPr>
              <w:pStyle w:val="Compact"/>
            </w:pPr>
            <w:r>
              <w:t xml:space="preserve">On the Services page, clicking</w:t>
            </w:r>
            <w:r>
              <w:t xml:space="preserve"> </w:t>
            </w:r>
            <w:r>
              <w:rPr>
                <w:b/>
                <w:bCs/>
              </w:rPr>
              <w:t xml:space="preserve">Buy ISBN</w:t>
            </w:r>
            <w:r>
              <w:t xml:space="preserve"> </w:t>
            </w:r>
            <w:r>
              <w:t xml:space="preserve">opens the modal; the</w:t>
            </w:r>
            <w:r>
              <w:t xml:space="preserve"> </w:t>
            </w:r>
            <w:r>
              <w:rPr>
                <w:b/>
                <w:bCs/>
              </w:rPr>
              <w:t xml:space="preserve">Manuscript</w:t>
            </w:r>
            <w:r>
              <w:t xml:space="preserve"> </w:t>
            </w:r>
            <w:r>
              <w:t xml:space="preserve">field auto‑populates with the current manuscript and is read‑only</w:t>
            </w:r>
            <w:hyperlink r:id="rId24">
              <w:r>
                <w:rPr>
                  <w:rStyle w:val="Hyperlink"/>
                </w:rPr>
                <w:t xml:space="preserve">[2]</w:t>
              </w:r>
            </w:hyperlink>
            <w:r>
              <w:t xml:space="preserve">.</w:t>
            </w:r>
          </w:p>
        </w:tc>
      </w:tr>
      <w:tr>
        <w:tc>
          <w:tcPr/>
          <w:p>
            <w:pPr>
              <w:pStyle w:val="Compact"/>
            </w:pPr>
            <w:r>
              <w:rPr>
                <w:b/>
                <w:bCs/>
              </w:rPr>
              <w:t xml:space="preserve">8.11.2</w:t>
            </w:r>
            <w:r>
              <w:t xml:space="preserve"> </w:t>
            </w:r>
            <w:r>
              <w:t xml:space="preserve">– Author selects manuscript from Marketplace (dropdown)</w:t>
            </w:r>
          </w:p>
        </w:tc>
        <w:tc>
          <w:tcPr/>
          <w:p>
            <w:pPr>
              <w:pStyle w:val="Compact"/>
            </w:pPr>
            <w:r>
              <w:t xml:space="preserve">✅ Pass</w:t>
            </w:r>
          </w:p>
        </w:tc>
        <w:tc>
          <w:tcPr/>
          <w:p>
            <w:pPr>
              <w:pStyle w:val="Compact"/>
            </w:pPr>
            <w:r>
              <w:t xml:space="preserve">Marketplace path now loads a manuscript dropdown after closing the initial error. Users can select a manuscript before proceeding.</w:t>
            </w:r>
          </w:p>
        </w:tc>
      </w:tr>
      <w:tr>
        <w:tc>
          <w:tcPr/>
          <w:p>
            <w:pPr>
              <w:pStyle w:val="Compact"/>
            </w:pPr>
            <w:r>
              <w:rPr>
                <w:b/>
                <w:bCs/>
              </w:rPr>
              <w:t xml:space="preserve">8.11.3</w:t>
            </w:r>
            <w:r>
              <w:t xml:space="preserve"> </w:t>
            </w:r>
            <w:r>
              <w:t xml:space="preserve">– Author Name &amp; BISAC pre‑fill</w:t>
            </w:r>
          </w:p>
        </w:tc>
        <w:tc>
          <w:tcPr/>
          <w:p>
            <w:pPr>
              <w:pStyle w:val="Compact"/>
            </w:pPr>
            <w:r>
              <w:t xml:space="preserve">❌ Fail</w:t>
            </w:r>
          </w:p>
        </w:tc>
        <w:tc>
          <w:tcPr/>
          <w:p>
            <w:pPr>
              <w:pStyle w:val="Compact"/>
            </w:pPr>
            <w:r>
              <w:t xml:space="preserve">The</w:t>
            </w:r>
            <w:r>
              <w:t xml:space="preserve"> </w:t>
            </w:r>
            <w:r>
              <w:rPr>
                <w:b/>
                <w:bCs/>
              </w:rPr>
              <w:t xml:space="preserve">Author Name</w:t>
            </w:r>
            <w:r>
              <w:t xml:space="preserve"> </w:t>
            </w:r>
            <w:r>
              <w:t xml:space="preserve">field still remains blank in all tested manuscripts (PRD The Bearing platform, README, multiple</w:t>
            </w:r>
            <w:r>
              <w:t xml:space="preserve"> </w:t>
            </w:r>
            <w:r>
              <w:rPr>
                <w:b/>
                <w:bCs/>
              </w:rPr>
              <w:t xml:space="preserve">Untitled</w:t>
            </w:r>
            <w:r>
              <w:t xml:space="preserve"> </w:t>
            </w:r>
            <w:r>
              <w:t xml:space="preserve">manuscripts). Only the BISAC category sometimes auto‑fills</w:t>
            </w:r>
            <w:hyperlink r:id="rId25">
              <w:r>
                <w:rPr>
                  <w:rStyle w:val="Hyperlink"/>
                </w:rPr>
                <w:t xml:space="preserve">[3]</w:t>
              </w:r>
            </w:hyperlink>
            <w:r>
              <w:t xml:space="preserve">.</w:t>
            </w:r>
          </w:p>
        </w:tc>
      </w:tr>
      <w:tr>
        <w:tc>
          <w:tcPr/>
          <w:p>
            <w:pPr>
              <w:pStyle w:val="Compact"/>
            </w:pPr>
            <w:r>
              <w:rPr>
                <w:b/>
                <w:bCs/>
              </w:rPr>
              <w:t xml:space="preserve">8.11.4 – 8.11.6</w:t>
            </w:r>
            <w:r>
              <w:t xml:space="preserve"> </w:t>
            </w:r>
            <w:r>
              <w:t xml:space="preserve">– Required fields &amp; Stripe checkout</w:t>
            </w:r>
          </w:p>
        </w:tc>
        <w:tc>
          <w:tcPr/>
          <w:p>
            <w:pPr>
              <w:pStyle w:val="Compact"/>
            </w:pPr>
            <w:r>
              <w:t xml:space="preserve">✅ Pass (partial)</w:t>
            </w:r>
          </w:p>
        </w:tc>
        <w:tc>
          <w:tcPr/>
          <w:p>
            <w:pPr>
              <w:pStyle w:val="Compact"/>
            </w:pPr>
            <w:r>
              <w:t xml:space="preserve">The</w:t>
            </w:r>
            <w:r>
              <w:t xml:space="preserve"> </w:t>
            </w:r>
            <w:r>
              <w:rPr>
                <w:b/>
                <w:bCs/>
              </w:rPr>
              <w:t xml:space="preserve">Buy ISBN</w:t>
            </w:r>
            <w:r>
              <w:t xml:space="preserve"> </w:t>
            </w:r>
            <w:r>
              <w:t xml:space="preserve">button is disabled until author name and category are filled. After filling, clicking</w:t>
            </w:r>
            <w:r>
              <w:t xml:space="preserve"> </w:t>
            </w:r>
            <w:r>
              <w:rPr>
                <w:b/>
                <w:bCs/>
              </w:rPr>
              <w:t xml:space="preserve">Buy ISBN</w:t>
            </w:r>
            <w:r>
              <w:t xml:space="preserve"> </w:t>
            </w:r>
            <w:r>
              <w:t xml:space="preserve">proceeds to a Stripe checkout page (access is blocked but redirect occurs).</w:t>
            </w:r>
          </w:p>
        </w:tc>
      </w:tr>
      <w:tr>
        <w:tc>
          <w:tcPr/>
          <w:p>
            <w:pPr>
              <w:pStyle w:val="Compact"/>
            </w:pPr>
            <w:r>
              <w:rPr>
                <w:b/>
                <w:bCs/>
              </w:rPr>
              <w:t xml:space="preserve">8.11.7</w:t>
            </w:r>
            <w:r>
              <w:t xml:space="preserve"> </w:t>
            </w:r>
            <w:r>
              <w:t xml:space="preserve">– Duplicate ISBN request shows “View Order”</w:t>
            </w:r>
          </w:p>
        </w:tc>
        <w:tc>
          <w:tcPr/>
          <w:p>
            <w:pPr>
              <w:pStyle w:val="Compact"/>
            </w:pPr>
            <w:r>
              <w:t xml:space="preserve">⚠️ Not verified</w:t>
            </w:r>
          </w:p>
        </w:tc>
        <w:tc>
          <w:tcPr/>
          <w:p>
            <w:pPr>
              <w:pStyle w:val="Compact"/>
            </w:pPr>
            <w:r>
              <w:t xml:space="preserve">Due to Stripe checkout being blocked, we couldn’t complete a purchase and therefore couldn’t verify if a new ISBN order changes the call‑to‑action to</w:t>
            </w:r>
            <w:r>
              <w:t xml:space="preserve"> </w:t>
            </w:r>
            <w:r>
              <w:rPr>
                <w:b/>
                <w:bCs/>
              </w:rPr>
              <w:t xml:space="preserve">View Order</w:t>
            </w:r>
            <w:r>
              <w:t xml:space="preserve">.</w:t>
            </w:r>
          </w:p>
        </w:tc>
      </w:tr>
      <w:tr>
        <w:tc>
          <w:tcPr/>
          <w:p>
            <w:pPr>
              <w:pStyle w:val="Compact"/>
            </w:pPr>
            <w:r>
              <w:rPr>
                <w:b/>
                <w:bCs/>
              </w:rPr>
              <w:t xml:space="preserve">8.12.1 – 8.12.2</w:t>
            </w:r>
            <w:r>
              <w:t xml:space="preserve"> </w:t>
            </w:r>
            <w:r>
              <w:t xml:space="preserve">– Service request form fields &amp; CTA enabling</w:t>
            </w:r>
          </w:p>
        </w:tc>
        <w:tc>
          <w:tcPr/>
          <w:p>
            <w:pPr>
              <w:pStyle w:val="Compact"/>
            </w:pPr>
            <w:r>
              <w:t xml:space="preserve">✅ Pass</w:t>
            </w:r>
          </w:p>
        </w:tc>
        <w:tc>
          <w:tcPr/>
          <w:p>
            <w:pPr>
              <w:pStyle w:val="Compact"/>
            </w:pPr>
            <w:r>
              <w:t xml:space="preserve">Service request forms display correct fields (e.g., Marketing Package and Social Media Launch Kit).</w:t>
            </w:r>
            <w:r>
              <w:t xml:space="preserve"> </w:t>
            </w:r>
            <w:r>
              <w:rPr>
                <w:b/>
                <w:bCs/>
              </w:rPr>
              <w:t xml:space="preserve">Submit Request</w:t>
            </w:r>
            <w:r>
              <w:t xml:space="preserve"> </w:t>
            </w:r>
            <w:r>
              <w:t xml:space="preserve">remains disabled until required fields are filled.</w:t>
            </w:r>
          </w:p>
        </w:tc>
      </w:tr>
      <w:tr>
        <w:tc>
          <w:tcPr/>
          <w:p>
            <w:pPr>
              <w:pStyle w:val="Compact"/>
            </w:pPr>
            <w:r>
              <w:rPr>
                <w:b/>
                <w:bCs/>
              </w:rPr>
              <w:t xml:space="preserve">8.12.5</w:t>
            </w:r>
            <w:r>
              <w:t xml:space="preserve"> </w:t>
            </w:r>
            <w:r>
              <w:t xml:space="preserve">– Prevent duplicate service requests</w:t>
            </w:r>
          </w:p>
        </w:tc>
        <w:tc>
          <w:tcPr/>
          <w:p>
            <w:pPr>
              <w:pStyle w:val="Compact"/>
            </w:pPr>
            <w:r>
              <w:t xml:space="preserve">✅ Pass</w:t>
            </w:r>
          </w:p>
        </w:tc>
        <w:tc>
          <w:tcPr/>
          <w:p>
            <w:pPr>
              <w:pStyle w:val="Compact"/>
            </w:pPr>
            <w:r>
              <w:t xml:space="preserve">When a service request is already active, the corresponding card on the Services page now shows</w:t>
            </w:r>
            <w:r>
              <w:t xml:space="preserve"> </w:t>
            </w:r>
            <w:r>
              <w:rPr>
                <w:b/>
                <w:bCs/>
              </w:rPr>
              <w:t xml:space="preserve">View Order</w:t>
            </w:r>
            <w:r>
              <w:t xml:space="preserve"> </w:t>
            </w:r>
            <w:r>
              <w:t xml:space="preserve">instead of</w:t>
            </w:r>
            <w:r>
              <w:t xml:space="preserve"> </w:t>
            </w:r>
            <w:r>
              <w:rPr>
                <w:b/>
                <w:bCs/>
              </w:rPr>
              <w:t xml:space="preserve">Request Service</w:t>
            </w:r>
            <w:r>
              <w:t xml:space="preserve"> </w:t>
            </w:r>
            <w:r>
              <w:t xml:space="preserve">and links to the existing order</w:t>
            </w:r>
            <w:hyperlink r:id="rId25">
              <w:r>
                <w:rPr>
                  <w:rStyle w:val="Hyperlink"/>
                </w:rPr>
                <w:t xml:space="preserve">[4]</w:t>
              </w:r>
            </w:hyperlink>
            <w:r>
              <w:t xml:space="preserve">.</w:t>
            </w:r>
          </w:p>
        </w:tc>
      </w:tr>
      <w:tr>
        <w:tc>
          <w:tcPr/>
          <w:p>
            <w:pPr>
              <w:pStyle w:val="Compact"/>
            </w:pPr>
            <w:r>
              <w:rPr>
                <w:b/>
                <w:bCs/>
              </w:rPr>
              <w:t xml:space="preserve">8.13.3</w:t>
            </w:r>
            <w:r>
              <w:t xml:space="preserve"> </w:t>
            </w:r>
            <w:r>
              <w:t xml:space="preserve">– My Orders sorting, status, and date display</w:t>
            </w:r>
          </w:p>
        </w:tc>
        <w:tc>
          <w:tcPr/>
          <w:p>
            <w:pPr>
              <w:pStyle w:val="Compact"/>
            </w:pPr>
            <w:r>
              <w:t xml:space="preserve">✅ Pass</w:t>
            </w:r>
          </w:p>
        </w:tc>
        <w:tc>
          <w:tcPr/>
          <w:p>
            <w:pPr>
              <w:pStyle w:val="Compact"/>
            </w:pPr>
            <w:r>
              <w:t xml:space="preserve">Orders are listed newest first with colored status badges (yellow = pending, red = cancelled). Dates are visible.</w:t>
            </w:r>
          </w:p>
        </w:tc>
      </w:tr>
      <w:tr>
        <w:tc>
          <w:tcPr/>
          <w:p>
            <w:pPr>
              <w:pStyle w:val="Compact"/>
            </w:pPr>
            <w:r>
              <w:rPr>
                <w:b/>
                <w:bCs/>
              </w:rPr>
              <w:t xml:space="preserve">8.13.5</w:t>
            </w:r>
            <w:r>
              <w:t xml:space="preserve"> </w:t>
            </w:r>
            <w:r>
              <w:t xml:space="preserve">– Manuscript link in My Orders row</w:t>
            </w:r>
          </w:p>
        </w:tc>
        <w:tc>
          <w:tcPr/>
          <w:p>
            <w:pPr>
              <w:pStyle w:val="Compact"/>
            </w:pPr>
            <w:r>
              <w:t xml:space="preserve">✅ Pass</w:t>
            </w:r>
          </w:p>
        </w:tc>
        <w:tc>
          <w:tcPr/>
          <w:p>
            <w:pPr>
              <w:pStyle w:val="Compact"/>
            </w:pPr>
            <w:r>
              <w:t xml:space="preserve">Clicking the manuscript name or icon in each order row now navigates to the corresponding manuscript editor. This behavior was absent in the previous release</w:t>
            </w:r>
            <w:hyperlink r:id="rId23">
              <w:r>
                <w:rPr>
                  <w:rStyle w:val="Hyperlink"/>
                </w:rPr>
                <w:t xml:space="preserve">[5]</w:t>
              </w:r>
            </w:hyperlink>
            <w:r>
              <w:t xml:space="preserve">.</w:t>
            </w:r>
          </w:p>
        </w:tc>
      </w:tr>
      <w:tr>
        <w:tc>
          <w:tcPr/>
          <w:p>
            <w:pPr>
              <w:pStyle w:val="Compact"/>
            </w:pPr>
            <w:r>
              <w:rPr>
                <w:b/>
                <w:bCs/>
              </w:rPr>
              <w:t xml:space="preserve">8.13.7</w:t>
            </w:r>
            <w:r>
              <w:t xml:space="preserve"> </w:t>
            </w:r>
            <w:r>
              <w:t xml:space="preserve">– Order detail view &amp; cancel button</w:t>
            </w:r>
          </w:p>
        </w:tc>
        <w:tc>
          <w:tcPr/>
          <w:p>
            <w:pPr>
              <w:pStyle w:val="Compact"/>
            </w:pPr>
            <w:r>
              <w:t xml:space="preserve">✅ Pass</w:t>
            </w:r>
          </w:p>
        </w:tc>
        <w:tc>
          <w:tcPr/>
          <w:p>
            <w:pPr>
              <w:pStyle w:val="Compact"/>
            </w:pPr>
            <w:r>
              <w:t xml:space="preserve">Order detail pages open correctly; pending orders show a</w:t>
            </w:r>
            <w:r>
              <w:t xml:space="preserve"> </w:t>
            </w:r>
            <w:r>
              <w:rPr>
                <w:b/>
                <w:bCs/>
              </w:rPr>
              <w:t xml:space="preserve">Cancel Request</w:t>
            </w:r>
            <w:r>
              <w:t xml:space="preserve"> </w:t>
            </w:r>
            <w:r>
              <w:t xml:space="preserve">button, while completed/cancelled orders do not.</w:t>
            </w:r>
          </w:p>
        </w:tc>
      </w:tr>
      <w:tr>
        <w:tc>
          <w:tcPr/>
          <w:p>
            <w:pPr>
              <w:pStyle w:val="Compact"/>
            </w:pPr>
            <w:r>
              <w:rPr>
                <w:b/>
                <w:bCs/>
              </w:rPr>
              <w:t xml:space="preserve">8.13.8</w:t>
            </w:r>
            <w:r>
              <w:t xml:space="preserve"> </w:t>
            </w:r>
            <w:r>
              <w:t xml:space="preserve">– Email notifications</w:t>
            </w:r>
          </w:p>
        </w:tc>
        <w:tc>
          <w:tcPr/>
          <w:p>
            <w:pPr>
              <w:pStyle w:val="Compact"/>
            </w:pPr>
            <w:r>
              <w:t xml:space="preserve">⏭️ Skipped</w:t>
            </w:r>
          </w:p>
        </w:tc>
        <w:tc>
          <w:tcPr/>
          <w:p>
            <w:pPr>
              <w:pStyle w:val="Compact"/>
            </w:pPr>
            <w:r>
              <w:t xml:space="preserve">Email delivery could not be tested as the environment lacks outbound email functionality.</w:t>
            </w:r>
          </w:p>
        </w:tc>
      </w:tr>
      <w:tr>
        <w:tc>
          <w:tcPr/>
          <w:p>
            <w:pPr>
              <w:pStyle w:val="Compact"/>
            </w:pPr>
            <w:r>
              <w:rPr>
                <w:b/>
                <w:bCs/>
              </w:rPr>
              <w:t xml:space="preserve">8.15.x</w:t>
            </w:r>
            <w:r>
              <w:t xml:space="preserve"> </w:t>
            </w:r>
            <w:r>
              <w:t xml:space="preserve">– Admin dashboard &amp; actions</w:t>
            </w:r>
          </w:p>
        </w:tc>
        <w:tc>
          <w:tcPr/>
          <w:p>
            <w:pPr>
              <w:pStyle w:val="Compact"/>
            </w:pPr>
            <w:r>
              <w:t xml:space="preserve">⏭️ Skipped</w:t>
            </w:r>
          </w:p>
        </w:tc>
        <w:tc>
          <w:tcPr/>
          <w:p>
            <w:pPr>
              <w:pStyle w:val="Compact"/>
            </w:pPr>
            <w:r>
              <w:t xml:space="preserve">Admin credentials were not provided, so admin‑side features couldn’t be retested.</w:t>
            </w:r>
          </w:p>
        </w:tc>
      </w:tr>
    </w:tbl>
    <w:bookmarkEnd w:id="26"/>
    <w:bookmarkStart w:id="27" w:name="issues"/>
    <w:p>
      <w:pPr>
        <w:pStyle w:val="Heading2"/>
      </w:pPr>
      <w:r>
        <w:t xml:space="preserve">Issues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Issue ID</w:t>
            </w:r>
          </w:p>
        </w:tc>
        <w:tc>
          <w:tcPr/>
          <w:p>
            <w:pPr>
              <w:pStyle w:val="Compact"/>
            </w:pPr>
            <w:r>
              <w:t xml:space="preserve">Test Case ID</w:t>
            </w:r>
          </w:p>
        </w:tc>
        <w:tc>
          <w:tcPr/>
          <w:p>
            <w:pPr>
              <w:pStyle w:val="Compact"/>
            </w:pPr>
            <w:r>
              <w:t xml:space="preserve">Severity</w:t>
            </w:r>
          </w:p>
        </w:tc>
        <w:tc>
          <w:tcPr/>
          <w:p>
            <w:pPr>
              <w:pStyle w:val="Compact"/>
            </w:pPr>
            <w:r>
              <w:t xml:space="preserve">Reproduction steps</w:t>
            </w:r>
          </w:p>
        </w:tc>
        <w:tc>
          <w:tcPr/>
          <w:p>
            <w:pPr>
              <w:pStyle w:val="Compact"/>
            </w:pPr>
            <w:r>
              <w:t xml:space="preserve">Expected vs. Actual</w:t>
            </w:r>
          </w:p>
        </w:tc>
        <w:tc>
          <w:tcPr/>
          <w:p>
            <w:pPr>
              <w:pStyle w:val="Compact"/>
            </w:pPr>
            <w:r>
              <w:t xml:space="preserve">Evidence</w:t>
            </w:r>
          </w:p>
        </w:tc>
      </w:tr>
      <w:tr>
        <w:tc>
          <w:tcPr/>
          <w:p>
            <w:pPr>
              <w:pStyle w:val="Compact"/>
            </w:pPr>
            <w:r>
              <w:rPr>
                <w:b/>
                <w:bCs/>
              </w:rPr>
              <w:t xml:space="preserve">ISS‑1</w:t>
            </w:r>
          </w:p>
        </w:tc>
        <w:tc>
          <w:tcPr/>
          <w:p>
            <w:pPr>
              <w:pStyle w:val="Compact"/>
            </w:pPr>
            <w:r>
              <w:t xml:space="preserve">8.11.3</w:t>
            </w:r>
          </w:p>
        </w:tc>
        <w:tc>
          <w:tcPr/>
          <w:p>
            <w:pPr>
              <w:pStyle w:val="Compact"/>
            </w:pPr>
            <w:r>
              <w:t xml:space="preserve">Medium</w:t>
            </w:r>
          </w:p>
        </w:tc>
        <w:tc>
          <w:tcPr/>
          <w:p>
            <w:pPr>
              <w:pStyle w:val="Compact"/>
            </w:pPr>
            <w:r>
              <w:t xml:space="preserve">1. Open any manuscript (PRD, README, Untitled). 2. Navigate to</w:t>
            </w:r>
            <w:r>
              <w:t xml:space="preserve"> </w:t>
            </w:r>
            <w:r>
              <w:rPr>
                <w:b/>
                <w:bCs/>
              </w:rPr>
              <w:t xml:space="preserve">Services → ISBN Registration</w:t>
            </w:r>
            <w:r>
              <w:t xml:space="preserve">. 3. Observe the</w:t>
            </w:r>
            <w:r>
              <w:t xml:space="preserve"> </w:t>
            </w:r>
            <w:r>
              <w:rPr>
                <w:b/>
                <w:bCs/>
              </w:rPr>
              <w:t xml:space="preserve">Author Name</w:t>
            </w:r>
            <w:r>
              <w:t xml:space="preserve"> </w:t>
            </w:r>
            <w:r>
              <w:t xml:space="preserve">field in the modal.</w:t>
            </w:r>
          </w:p>
        </w:tc>
        <w:tc>
          <w:tcPr/>
          <w:p>
            <w:pPr>
              <w:pStyle w:val="Compact"/>
            </w:pPr>
            <w:r>
              <w:t xml:space="preserve">Expected: The Author Name should pre‑fill using manuscript metadata or the user’s profile name.</w:t>
            </w:r>
          </w:p>
        </w:tc>
        <w:tc>
          <w:tcPr/>
          <w:p>
            <w:pPr>
              <w:pStyle w:val="Compact"/>
            </w:pPr>
            <w:r>
              <w:t xml:space="preserve">Actual: The Author Name field remains blank across all manuscripts</w:t>
            </w:r>
            <w:hyperlink r:id="rId24">
              <w:r>
                <w:rPr>
                  <w:rStyle w:val="Hyperlink"/>
                </w:rPr>
                <w:t xml:space="preserve">[2]</w:t>
              </w:r>
            </w:hyperlink>
            <w:hyperlink r:id="rId25">
              <w:r>
                <w:rPr>
                  <w:rStyle w:val="Hyperlink"/>
                </w:rPr>
                <w:t xml:space="preserve">[3]</w:t>
              </w:r>
            </w:hyperlink>
            <w:r>
              <w:t xml:space="preserve">.</w:t>
            </w:r>
          </w:p>
        </w:tc>
      </w:tr>
      <w:tr>
        <w:tc>
          <w:tcPr/>
          <w:p>
            <w:pPr>
              <w:pStyle w:val="Compact"/>
            </w:pPr>
            <w:r>
              <w:rPr>
                <w:b/>
                <w:bCs/>
              </w:rPr>
              <w:t xml:space="preserve">ISS‑2</w:t>
            </w:r>
          </w:p>
        </w:tc>
        <w:tc>
          <w:tcPr/>
          <w:p>
            <w:pPr>
              <w:pStyle w:val="Compact"/>
            </w:pPr>
            <w:r>
              <w:t xml:space="preserve">8.11.7</w:t>
            </w:r>
          </w:p>
        </w:tc>
        <w:tc>
          <w:tcPr/>
          <w:p>
            <w:pPr>
              <w:pStyle w:val="Compact"/>
            </w:pPr>
            <w:r>
              <w:t xml:space="preserve">Low</w:t>
            </w:r>
          </w:p>
        </w:tc>
        <w:tc>
          <w:tcPr/>
          <w:p>
            <w:pPr>
              <w:pStyle w:val="Compact"/>
            </w:pPr>
            <w:r>
              <w:t xml:space="preserve">1. Complete an ISBN purchase to create an order. 2. Return to the Services page.</w:t>
            </w:r>
          </w:p>
        </w:tc>
        <w:tc>
          <w:tcPr/>
          <w:p>
            <w:pPr>
              <w:pStyle w:val="Compact"/>
            </w:pPr>
            <w:r>
              <w:t xml:space="preserve">Expected: The ISBN card should display</w:t>
            </w:r>
            <w:r>
              <w:t xml:space="preserve"> </w:t>
            </w:r>
            <w:r>
              <w:rPr>
                <w:b/>
                <w:bCs/>
              </w:rPr>
              <w:t xml:space="preserve">View Order</w:t>
            </w:r>
            <w:r>
              <w:t xml:space="preserve"> </w:t>
            </w:r>
            <w:r>
              <w:t xml:space="preserve">when an active ISBN order exists.</w:t>
            </w:r>
          </w:p>
        </w:tc>
        <w:tc>
          <w:tcPr/>
          <w:p>
            <w:pPr>
              <w:pStyle w:val="Compact"/>
            </w:pPr>
            <w:r>
              <w:t xml:space="preserve">Actual: Unable to test due to Stripe checkout being blocked; duplicate prevention still unverified.</w:t>
            </w:r>
          </w:p>
        </w:tc>
      </w:tr>
    </w:tbl>
    <w:bookmarkEnd w:id="27"/>
    <w:bookmarkStart w:id="28" w:name="release-verdict"/>
    <w:p>
      <w:pPr>
        <w:pStyle w:val="Heading2"/>
      </w:pPr>
      <w:r>
        <w:t xml:space="preserve">Release Verdict</w:t>
      </w:r>
    </w:p>
    <w:p>
      <w:pPr>
        <w:pStyle w:val="FirstParagraph"/>
      </w:pPr>
      <w:r>
        <w:rPr>
          <w:b/>
          <w:bCs/>
        </w:rPr>
        <w:t xml:space="preserve">⚠️ Risky</w:t>
      </w:r>
      <w:r>
        <w:t xml:space="preserve"> </w:t>
      </w:r>
      <w:r>
        <w:t xml:space="preserve">– Most of the prior issues were resolved: the new fullscreen exit button works, service request duplicate prevention functions, and manuscript links on the My Orders page now navigate to manuscripts. However, the author name still fails to prefill in the ISBN Registration form, and duplicate prevention for ISBN purchases couldn’t be verified without completing a transaction. These outstanding issues lower confidence in the ISBN registration workflow and warrant further fixes or testing before declaring the release fully ready.</w:t>
      </w:r>
    </w:p>
    <w:bookmarkEnd w:id="28"/>
    <w:bookmarkEnd w:id="29"/>
    <w:bookmarkEnd w:id="30"/>
    <w:p>
      <w:r>
        <w:pict>
          <v:rect style="width:0;height:1.5pt" o:hralign="center" o:hrstd="t" o:hr="t"/>
        </w:pict>
      </w:r>
    </w:p>
    <w:bookmarkStart w:id="31" w:name="citations"/>
    <w:p>
      <w:pPr>
        <w:pStyle w:val="FirstParagraph"/>
      </w:pPr>
      <w:hyperlink r:id="rId23">
        <w:r>
          <w:rPr>
            <w:rStyle w:val="Hyperlink"/>
          </w:rPr>
          <w:t xml:space="preserve">[1]</w:t>
        </w:r>
      </w:hyperlink>
      <w:r>
        <w:t xml:space="preserve"> </w:t>
      </w:r>
      <w:hyperlink r:id="rId23">
        <w:r>
          <w:rPr>
            <w:rStyle w:val="Hyperlink"/>
          </w:rPr>
          <w:t xml:space="preserve">[5]</w:t>
        </w:r>
      </w:hyperlink>
      <w:r>
        <w:t xml:space="preserve"> </w:t>
      </w:r>
      <w:r>
        <w:t xml:space="preserve">Bearing App</w:t>
      </w:r>
    </w:p>
    <w:p>
      <w:pPr>
        <w:pStyle w:val="BodyText"/>
      </w:pPr>
      <w:hyperlink r:id="rId23">
        <w:r>
          <w:rPr>
            <w:rStyle w:val="Hyperlink"/>
          </w:rPr>
          <w:t xml:space="preserve">https://bearing-app.vercel.app/dashboard/manuscripts/46abbe28-a165-4f2b-8897-d5c74b789018</w:t>
        </w:r>
      </w:hyperlink>
    </w:p>
    <w:p>
      <w:pPr>
        <w:pStyle w:val="BodyText"/>
      </w:pPr>
      <w:hyperlink r:id="rId24">
        <w:r>
          <w:rPr>
            <w:rStyle w:val="Hyperlink"/>
          </w:rPr>
          <w:t xml:space="preserve">[2]</w:t>
        </w:r>
      </w:hyperlink>
      <w:r>
        <w:t xml:space="preserve"> </w:t>
      </w:r>
      <w:r>
        <w:t xml:space="preserve">Bearing App</w:t>
      </w:r>
    </w:p>
    <w:p>
      <w:pPr>
        <w:pStyle w:val="BodyText"/>
      </w:pPr>
      <w:hyperlink r:id="rId24">
        <w:r>
          <w:rPr>
            <w:rStyle w:val="Hyperlink"/>
          </w:rPr>
          <w:t xml:space="preserve">https://bearing-app.vercel.app/dashboard/manuscripts/7c663364-0e8e-44d5-ab99-51387ecf1eb2/services</w:t>
        </w:r>
      </w:hyperlink>
    </w:p>
    <w:p>
      <w:pPr>
        <w:pStyle w:val="BodyText"/>
      </w:pPr>
      <w:hyperlink r:id="rId25">
        <w:r>
          <w:rPr>
            <w:rStyle w:val="Hyperlink"/>
          </w:rPr>
          <w:t xml:space="preserve">[3]</w:t>
        </w:r>
      </w:hyperlink>
      <w:r>
        <w:t xml:space="preserve"> </w:t>
      </w:r>
      <w:hyperlink r:id="rId25">
        <w:r>
          <w:rPr>
            <w:rStyle w:val="Hyperlink"/>
          </w:rPr>
          <w:t xml:space="preserve">[4]</w:t>
        </w:r>
      </w:hyperlink>
      <w:r>
        <w:t xml:space="preserve"> </w:t>
      </w:r>
      <w:r>
        <w:t xml:space="preserve">Bearing App</w:t>
      </w:r>
    </w:p>
    <w:p>
      <w:pPr>
        <w:pStyle w:val="BodyText"/>
      </w:pPr>
      <w:hyperlink r:id="rId25">
        <w:r>
          <w:rPr>
            <w:rStyle w:val="Hyperlink"/>
          </w:rPr>
          <w:t xml:space="preserve">https://bearing-app.vercel.app/dashboard/manuscripts/46abbe28-a165-4f2b-8897-d5c74b789018/services</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bearing-app.vercel.app" TargetMode="External" /><Relationship Type="http://schemas.openxmlformats.org/officeDocument/2006/relationships/hyperlink" Id="rId23" Target="https://bearing-app.vercel.app/dashboard/manuscripts/46abbe28-a165-4f2b-8897-d5c74b789018" TargetMode="External" /><Relationship Type="http://schemas.openxmlformats.org/officeDocument/2006/relationships/hyperlink" Id="rId25" Target="https://bearing-app.vercel.app/dashboard/manuscripts/46abbe28-a165-4f2b-8897-d5c74b789018/services" TargetMode="External" /><Relationship Type="http://schemas.openxmlformats.org/officeDocument/2006/relationships/hyperlink" Id="rId24" Target="https://bearing-app.vercel.app/dashboard/manuscripts/7c663364-0e8e-44d5-ab99-51387ecf1eb2/services" TargetMode="External" /></Relationships>
</file>

<file path=word/_rels/footnotes.xml.rels><?xml version="1.0" encoding="UTF-8"?><Relationships xmlns="http://schemas.openxmlformats.org/package/2006/relationships"><Relationship Type="http://schemas.openxmlformats.org/officeDocument/2006/relationships/hyperlink" Id="rId21" Target="https://bearing-app.vercel.app" TargetMode="External" /><Relationship Type="http://schemas.openxmlformats.org/officeDocument/2006/relationships/hyperlink" Id="rId23" Target="https://bearing-app.vercel.app/dashboard/manuscripts/46abbe28-a165-4f2b-8897-d5c74b789018" TargetMode="External" /><Relationship Type="http://schemas.openxmlformats.org/officeDocument/2006/relationships/hyperlink" Id="rId25" Target="https://bearing-app.vercel.app/dashboard/manuscripts/46abbe28-a165-4f2b-8897-d5c74b789018/services" TargetMode="External" /><Relationship Type="http://schemas.openxmlformats.org/officeDocument/2006/relationships/hyperlink" Id="rId24" Target="https://bearing-app.vercel.app/dashboard/manuscripts/7c663364-0e8e-44d5-ab99-51387ecf1eb2/serv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2026-02-09T19:22:39Z</dcterms:created>
  <dcterms:modified xsi:type="dcterms:W3CDTF">2026-02-09T19:22:39Z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