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20.44] OT-1048 | XT | UK | AS | Region Lockdown | Wales (1081)  – 6 Nov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https://jira.uhub.biz/browse/GTBEMEAOPT-1081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https://www.ford.co.uk/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Home Page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If you’re not in one of the locations and you want to ensure that the changes aren’t seen for people not in said location, view the Geo-Specific link. If you’re not in one of the locations and you want to see what those in the location would see, view the Debug link.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Alternatively if you are in the location and want to ensure you can see the changes, view the Geo-Specific link.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If you are in the location or using the debug link, this popup should appear: </w:t>
      </w:r>
      <w:r w:rsidDel="00000000" w:rsidR="00000000" w:rsidRPr="00000000">
        <w:rPr/>
        <w:drawing>
          <wp:inline distB="114300" distT="114300" distL="114300" distR="114300">
            <wp:extent cx="5410200" cy="39052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Which links to: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https://www.ford.co.uk/useful-information/care-code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when clicked on “here”.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  <w:t xml:space="preserve">All traffic ~ granted they’re in one of the required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QA Links: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Geo-Specific Link: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https://www.ford.co.uk?at_preview_token=hr4wGS-XZWcEvc4sgfWeZQ&amp;at_preview_index=1_1&amp;at_preview_listed_activities_only=true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Debug Link: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https://www.ford.co.uk?at_preview_token=hr4wGS-XZWcEvc4sgfWeZQ&amp;at_preview_index=1_1&amp;at_preview_listed_activities_only=true&amp;targetDebug=1081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ord.co.uk?at_preview_token=hr4wGS-XZWcEvc4sgfWeZQ&amp;at_preview_index=1_1&amp;at_preview_listed_activities_only=true" TargetMode="External"/><Relationship Id="rId10" Type="http://schemas.openxmlformats.org/officeDocument/2006/relationships/hyperlink" Target="https://www.ford.co.uk/useful-information/care-code" TargetMode="External"/><Relationship Id="rId12" Type="http://schemas.openxmlformats.org/officeDocument/2006/relationships/hyperlink" Target="https://www.ford.co.uk?at_preview_token=hr4wGS-XZWcEvc4sgfWeZQ&amp;at_preview_index=1_1&amp;at_preview_listed_activities_only=true&amp;targetDebug=1081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1081" TargetMode="External"/><Relationship Id="rId8" Type="http://schemas.openxmlformats.org/officeDocument/2006/relationships/hyperlink" Target="https://www.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E94XQSJgfwgaVsfWtpxhkMT8A==">AMUW2mUQmfUYJ7p5peJWNuJ8np2JAoRRqxyPj2LafS3aYmkCdE16E732DVd4ufYBqrw/7g3JefpLkMijy2zt19IEFlmUHgj1JsUUJTL6zec5AV/1SYdNABHxLzTqnv0WnlLCY99YddNh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