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CA3A" w14:textId="77777777" w:rsidR="009B6E87" w:rsidRDefault="00824C64">
      <w:pPr>
        <w:spacing w:line="276" w:lineRule="auto"/>
      </w:pPr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  <w:t xml:space="preserve">[DEV 20.42] OT-977 | XT | FR | BP | </w:t>
      </w:r>
      <w:proofErr w:type="spellStart"/>
      <w:r>
        <w:t>Wallbox</w:t>
      </w:r>
      <w:proofErr w:type="spellEnd"/>
      <w:r>
        <w:t xml:space="preserve"> Offer </w:t>
      </w:r>
      <w:proofErr w:type="spellStart"/>
      <w:r>
        <w:t>Popin</w:t>
      </w:r>
      <w:proofErr w:type="spellEnd"/>
      <w:r>
        <w:t xml:space="preserve"> on Explorer BP Summary (1046)</w:t>
      </w:r>
    </w:p>
    <w:p w14:paraId="15DBEDBD" w14:textId="77777777" w:rsidR="009B6E87" w:rsidRDefault="009B6E87">
      <w:pPr>
        <w:spacing w:line="276" w:lineRule="auto"/>
        <w:rPr>
          <w:sz w:val="32"/>
          <w:szCs w:val="32"/>
        </w:rPr>
      </w:pPr>
    </w:p>
    <w:p w14:paraId="313C16E5" w14:textId="77777777" w:rsidR="009B6E87" w:rsidRDefault="00824C64">
      <w:pPr>
        <w:spacing w:line="276" w:lineRule="auto"/>
      </w:pPr>
      <w:r>
        <w:rPr>
          <w:b/>
          <w:u w:val="single"/>
        </w:rPr>
        <w:t>Jira ticket:</w:t>
      </w:r>
      <w:r>
        <w:br/>
      </w:r>
      <w:hyperlink r:id="rId5">
        <w:r>
          <w:rPr>
            <w:color w:val="1155CC"/>
            <w:u w:val="single"/>
          </w:rPr>
          <w:t>https://jira.uhub.biz/browse/GTBEMEAOPT-1087</w:t>
        </w:r>
      </w:hyperlink>
      <w:r>
        <w:t xml:space="preserve"> </w:t>
      </w:r>
    </w:p>
    <w:p w14:paraId="6947219C" w14:textId="77777777" w:rsidR="009B6E87" w:rsidRDefault="009B6E87">
      <w:pPr>
        <w:spacing w:line="276" w:lineRule="auto"/>
      </w:pPr>
    </w:p>
    <w:p w14:paraId="68E15661" w14:textId="77777777" w:rsidR="009B6E87" w:rsidRDefault="00824C64">
      <w:pPr>
        <w:spacing w:line="276" w:lineRule="auto"/>
      </w:pPr>
      <w:r>
        <w:rPr>
          <w:b/>
          <w:u w:val="single"/>
        </w:rPr>
        <w:t>Site</w:t>
      </w:r>
      <w:r>
        <w:br/>
      </w:r>
      <w:hyperlink r:id="rId6">
        <w:r>
          <w:rPr>
            <w:color w:val="1155CC"/>
            <w:u w:val="single"/>
          </w:rPr>
          <w:t>https://www.ford.fr/</w:t>
        </w:r>
      </w:hyperlink>
      <w:r>
        <w:t xml:space="preserve"> </w:t>
      </w:r>
    </w:p>
    <w:p w14:paraId="27BBB8FB" w14:textId="77777777" w:rsidR="009B6E87" w:rsidRDefault="009B6E87">
      <w:pPr>
        <w:spacing w:line="276" w:lineRule="auto"/>
        <w:rPr>
          <w:color w:val="0563C1"/>
          <w:u w:val="single"/>
        </w:rPr>
      </w:pPr>
      <w:bookmarkStart w:id="0" w:name="_heading=h.gjdgxs" w:colFirst="0" w:colLast="0"/>
      <w:bookmarkEnd w:id="0"/>
    </w:p>
    <w:p w14:paraId="67B444AE" w14:textId="77777777" w:rsidR="009B6E87" w:rsidRDefault="00824C64">
      <w:pPr>
        <w:spacing w:line="276" w:lineRule="auto"/>
        <w:rPr>
          <w:b/>
          <w:u w:val="single"/>
        </w:rPr>
      </w:pPr>
      <w:r>
        <w:rPr>
          <w:b/>
          <w:u w:val="single"/>
        </w:rPr>
        <w:t>Test location</w:t>
      </w:r>
      <w:r>
        <w:br/>
        <w:t>Ford Explorer Build &amp; Price Summary Page</w:t>
      </w:r>
      <w:r>
        <w:rPr>
          <w:b/>
          <w:u w:val="single"/>
        </w:rPr>
        <w:br/>
      </w:r>
    </w:p>
    <w:p w14:paraId="09BBBCB4" w14:textId="77777777" w:rsidR="009B6E87" w:rsidRDefault="00824C64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t>Test Description</w:t>
      </w:r>
    </w:p>
    <w:p w14:paraId="0242F1AD" w14:textId="716DDE32" w:rsidR="009B6E87" w:rsidRDefault="00824C64">
      <w:pPr>
        <w:tabs>
          <w:tab w:val="left" w:pos="0"/>
        </w:tabs>
        <w:spacing w:after="240" w:line="276" w:lineRule="auto"/>
      </w:pPr>
      <w:r>
        <w:t xml:space="preserve">View the </w:t>
      </w:r>
      <w:r>
        <w:t xml:space="preserve">QA link. Then click the following link &gt; </w:t>
      </w:r>
      <w:hyperlink r:id="rId7" w:history="1">
        <w:r w:rsidRPr="00D85C12">
          <w:rPr>
            <w:rStyle w:val="Hyperlink"/>
          </w:rPr>
          <w:t>https://www.ford.fr/achat/poursuivre-lexperience/bp/ice#/model?catalogId=WAEFX-CTW-2021-ExplorerFRA202100</w:t>
        </w:r>
      </w:hyperlink>
      <w:r>
        <w:t xml:space="preserve"> &lt; to start the Build and Price for the Explorer. Now make your way through the entire journey until you reach the summary page.</w:t>
      </w:r>
      <w:r>
        <w:br/>
      </w:r>
      <w:r>
        <w:br/>
      </w:r>
      <w:proofErr w:type="gramStart"/>
      <w:r>
        <w:t>You’ll</w:t>
      </w:r>
      <w:proofErr w:type="gramEnd"/>
      <w:r>
        <w:t xml:space="preserve"> know you’re on the Summary page, as the popup should immediately appear.</w:t>
      </w:r>
    </w:p>
    <w:p w14:paraId="5D3E3ABC" w14:textId="770FE879" w:rsidR="009B6E87" w:rsidRDefault="00824C64">
      <w:pPr>
        <w:tabs>
          <w:tab w:val="left" w:pos="0"/>
        </w:tabs>
        <w:spacing w:after="240" w:line="276" w:lineRule="auto"/>
      </w:pPr>
      <w:r>
        <w:t>The popup has 2 links, the CTA button “</w:t>
      </w:r>
      <w:proofErr w:type="spellStart"/>
      <w:r w:rsidRPr="00824C64">
        <w:t>Trouvez</w:t>
      </w:r>
      <w:proofErr w:type="spellEnd"/>
      <w:r w:rsidRPr="00824C64">
        <w:t xml:space="preserve"> </w:t>
      </w:r>
      <w:proofErr w:type="spellStart"/>
      <w:r w:rsidRPr="00824C64">
        <w:t>votre</w:t>
      </w:r>
      <w:proofErr w:type="spellEnd"/>
      <w:r w:rsidRPr="00824C64">
        <w:t xml:space="preserve"> </w:t>
      </w:r>
      <w:proofErr w:type="spellStart"/>
      <w:r w:rsidRPr="00824C64">
        <w:t>concessionnaire</w:t>
      </w:r>
      <w:proofErr w:type="spellEnd"/>
      <w:r>
        <w:t>” and a</w:t>
      </w:r>
      <w:r>
        <w:t xml:space="preserve"> link “</w:t>
      </w:r>
      <w:proofErr w:type="spellStart"/>
      <w:r>
        <w:t>rendez-vous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”. Clicking the button will redirect to &gt;&gt; </w:t>
      </w:r>
      <w:hyperlink r:id="rId8">
        <w:r>
          <w:rPr>
            <w:color w:val="1155CC"/>
            <w:u w:val="single"/>
          </w:rPr>
          <w:t>https://www.ford.fr/votre-concessionnaire</w:t>
        </w:r>
      </w:hyperlink>
      <w:r>
        <w:t xml:space="preserve"> </w:t>
      </w:r>
      <w:r>
        <w:br/>
        <w:t xml:space="preserve">Clicking the link will redirect to &gt;&gt; </w:t>
      </w:r>
      <w:hyperlink r:id="rId9" w:history="1">
        <w:r w:rsidRPr="008C3A09">
          <w:rPr>
            <w:rStyle w:val="Hyperlink"/>
          </w:rPr>
          <w:t>https://www.fordaccessoires.fr/emobilit%C3%A9/bornes-de-recharge-et-accessoires/elvi-wallbox/2443725?model=explorer&amp;year=2019</w:t>
        </w:r>
      </w:hyperlink>
      <w:r>
        <w:t xml:space="preserve"> </w:t>
      </w:r>
      <w:r>
        <w:br w:type="page"/>
      </w:r>
    </w:p>
    <w:p w14:paraId="7E458B78" w14:textId="3750F016" w:rsidR="009B6E87" w:rsidRDefault="00824C64">
      <w:pPr>
        <w:tabs>
          <w:tab w:val="left" w:pos="0"/>
        </w:tabs>
        <w:spacing w:after="240" w:line="276" w:lineRule="auto"/>
      </w:pPr>
      <w:r>
        <w:lastRenderedPageBreak/>
        <w:t>Desktop Popup:</w:t>
      </w:r>
      <w:r>
        <w:br/>
      </w:r>
      <w:r>
        <w:rPr>
          <w:noProof/>
        </w:rPr>
        <w:drawing>
          <wp:inline distT="0" distB="0" distL="0" distR="0" wp14:anchorId="52B94771" wp14:editId="6E477708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D0482D0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411B4818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4EA99516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5AC95B0F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79B74821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07571998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337D9C95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74ECDB17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3D9DEED4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6EDFFD06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21FAD05C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2E181298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6C8E1B65" w14:textId="77777777" w:rsidR="009B6E87" w:rsidRDefault="009B6E87">
      <w:pPr>
        <w:tabs>
          <w:tab w:val="left" w:pos="0"/>
        </w:tabs>
        <w:spacing w:after="240" w:line="276" w:lineRule="auto"/>
        <w:rPr>
          <w:b/>
          <w:u w:val="single"/>
        </w:rPr>
      </w:pPr>
    </w:p>
    <w:p w14:paraId="13957174" w14:textId="77777777" w:rsidR="00824C64" w:rsidRDefault="00824C6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2BDEB27" w14:textId="37174A98" w:rsidR="009B6E87" w:rsidRDefault="00824C64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lastRenderedPageBreak/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  <w:t>All traffic</w:t>
      </w:r>
    </w:p>
    <w:p w14:paraId="6AF2FB93" w14:textId="77777777" w:rsidR="009B6E87" w:rsidRDefault="00824C64">
      <w:pPr>
        <w:spacing w:line="276" w:lineRule="auto"/>
        <w:rPr>
          <w:b/>
        </w:rPr>
      </w:pPr>
      <w:r>
        <w:rPr>
          <w:b/>
          <w:color w:val="000000"/>
          <w:u w:val="single"/>
        </w:rPr>
        <w:t>QA Link:</w:t>
      </w:r>
    </w:p>
    <w:p w14:paraId="06AA3064" w14:textId="35E33B83" w:rsidR="009B6E87" w:rsidRDefault="00824C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hyperlink r:id="rId11" w:history="1">
        <w:r w:rsidRPr="00D85C12">
          <w:rPr>
            <w:rStyle w:val="Hyperlink"/>
          </w:rPr>
          <w:t>https://www.ford.fr/?at_preview_token=bNd6P-tgJWTHJC52njPaaw&amp;at_preview_index=1_1&amp;at_preview_listed_activities_only=true</w:t>
        </w:r>
      </w:hyperlink>
      <w:r>
        <w:t xml:space="preserve"> </w:t>
      </w:r>
    </w:p>
    <w:p w14:paraId="4A0F14B7" w14:textId="77777777" w:rsidR="009B6E87" w:rsidRDefault="009B6E8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3F9A86A6" w14:textId="77777777" w:rsidR="009B6E87" w:rsidRDefault="009B6E87">
      <w:pPr>
        <w:spacing w:line="276" w:lineRule="auto"/>
      </w:pPr>
    </w:p>
    <w:p w14:paraId="262C63CD" w14:textId="77777777" w:rsidR="009B6E87" w:rsidRDefault="009B6E87">
      <w:pPr>
        <w:spacing w:line="276" w:lineRule="auto"/>
      </w:pPr>
    </w:p>
    <w:sectPr w:rsidR="009B6E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87"/>
    <w:rsid w:val="00824C64"/>
    <w:rsid w:val="009B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BAE7"/>
  <w15:docId w15:val="{F2525810-13CE-490B-B306-489B10E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fr/votre-concessionnai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d.fr/achat/poursuivre-lexperience/bp/ice#/model?catalogId=WAEFX-CTW-2021-ExplorerFRA202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d.fr/" TargetMode="External"/><Relationship Id="rId11" Type="http://schemas.openxmlformats.org/officeDocument/2006/relationships/hyperlink" Target="https://www.ford.fr/?at_preview_token=bNd6P-tgJWTHJC52njPaaw&amp;at_preview_index=1_1&amp;at_preview_listed_activities_only=true" TargetMode="External"/><Relationship Id="rId5" Type="http://schemas.openxmlformats.org/officeDocument/2006/relationships/hyperlink" Target="https://jira.uhub.biz/browse/GTBEMEAOPT-108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ordaccessoires.fr/emobilit%C3%A9/bornes-de-recharge-et-accessoires/elvi-wallbox/2443725?model=explorer&amp;year=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9cXg3AAgx6WiJFYJm5ANWJE6w==">AMUW2mWWuyrzlcnAeigqEa0hgz6IewiGipWEObEZA1c4IHtHu8iPJvpyey5YQYEY2ZxBSO/W1v1w2t9DmP3WzY385ZgjiQ1kEizM9UlNmpu/x/hcee72l9WU1ZdCLkznOcKjiLu1MUDE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Friedman, Janine</dc:creator>
  <cp:lastModifiedBy>Mark Ferreira</cp:lastModifiedBy>
  <cp:revision>2</cp:revision>
  <dcterms:created xsi:type="dcterms:W3CDTF">2020-11-24T10:52:00Z</dcterms:created>
  <dcterms:modified xsi:type="dcterms:W3CDTF">2020-11-24T10:52:00Z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