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[DEV21.07] OT-1185 | XT | FR | BP | BP Summary S2D Popup (Kuga)</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https://jira.uhub.biz/browse/GTBEMEAOPT-1185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Kuga NGC Summary Page (any configuration)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C">
      <w:pPr>
        <w:tabs>
          <w:tab w:val="left" w:pos="0"/>
        </w:tabs>
        <w:spacing w:after="240" w:line="276" w:lineRule="auto"/>
        <w:rPr>
          <w:b w:val="1"/>
          <w:u w:val="single"/>
        </w:rPr>
      </w:pPr>
      <w:r w:rsidDel="00000000" w:rsidR="00000000" w:rsidRPr="00000000">
        <w:rPr>
          <w:rtl w:val="0"/>
        </w:rPr>
        <w:t xml:space="preserve">Note: Do not use Incognito or private mode.</w:t>
        <w:br w:type="textWrapping"/>
        <w:t xml:space="preserve">View the QA Link. In the top right corner click on “Configurateur”. Once loaded, mouse over the “Nouveau Kuga” and click on the “Configurer” button that appears. You are now in the NGC build and price journey, make your way through the journey selecting any options. once you’ve hit the Summary page, see screenshots. Wait 10 seconds and a popup will appear.</w:t>
        <w:br w:type="textWrapping"/>
        <w:br w:type="textWrapping"/>
        <w:t xml:space="preserve">The Popup can only appear once every 15 minutes, up to a maximum of 3 times.</w:t>
        <w:br w:type="textWrapping"/>
        <w:t xml:space="preserve">The Popup can only appear on the Summary page of the Kuga.</w:t>
        <w:br w:type="textWrapping"/>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Mobile Only</w:t>
      </w:r>
      <w:r w:rsidDel="00000000" w:rsidR="00000000" w:rsidRPr="00000000">
        <w:rPr>
          <w:rtl w:val="0"/>
        </w:rPr>
      </w:r>
    </w:p>
    <w:p w:rsidR="00000000" w:rsidDel="00000000" w:rsidP="00000000" w:rsidRDefault="00000000" w:rsidRPr="00000000" w14:paraId="0000000D">
      <w:pPr>
        <w:spacing w:line="276" w:lineRule="auto"/>
        <w:rPr>
          <w:b w:val="1"/>
          <w:color w:val="000000"/>
          <w:u w:val="single"/>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b w:val="1"/>
          <w:color w:val="172b4d"/>
          <w:sz w:val="21"/>
          <w:szCs w:val="21"/>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hyperlink r:id="rId9">
        <w:r w:rsidDel="00000000" w:rsidR="00000000" w:rsidRPr="00000000">
          <w:rPr>
            <w:rFonts w:ascii="Roboto" w:cs="Roboto" w:eastAsia="Roboto" w:hAnsi="Roboto"/>
            <w:b w:val="1"/>
            <w:color w:val="1155cc"/>
            <w:sz w:val="21"/>
            <w:szCs w:val="21"/>
            <w:u w:val="single"/>
            <w:rtl w:val="0"/>
          </w:rPr>
          <w:t xml:space="preserve">https://www.ford.fr?at_preview_token=qMdpc5qnEsXNwW9lt5uKxQ&amp;at_preview_index=1_1&amp;at_preview_listed_activities_only=true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0F">
      <w:pPr>
        <w:rPr>
          <w:rFonts w:ascii="AppleSystemUIFont" w:cs="AppleSystemUIFont" w:eastAsia="AppleSystemUIFont" w:hAnsi="AppleSystemUIFont"/>
          <w:b w:val="1"/>
        </w:rPr>
      </w:pPr>
      <w:r w:rsidDel="00000000" w:rsidR="00000000" w:rsidRPr="00000000">
        <w:rPr>
          <w:rtl w:val="0"/>
        </w:rPr>
      </w:r>
    </w:p>
    <w:p w:rsidR="00000000" w:rsidDel="00000000" w:rsidP="00000000" w:rsidRDefault="00000000" w:rsidRPr="00000000" w14:paraId="00000010">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with disclaimer:</w:t>
        <w:br w:type="textWrapping"/>
      </w:r>
      <w:r w:rsidDel="00000000" w:rsidR="00000000" w:rsidRPr="00000000">
        <w:rPr>
          <w:rFonts w:ascii="AppleSystemUIFont" w:cs="AppleSystemUIFont" w:eastAsia="AppleSystemUIFont" w:hAnsi="AppleSystemUIFont"/>
          <w:b w:val="1"/>
        </w:rPr>
        <w:drawing>
          <wp:inline distB="114300" distT="114300" distL="114300" distR="114300">
            <wp:extent cx="5731200" cy="3505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Fonts w:ascii="AppleSystemUIFont" w:cs="AppleSystemUIFont" w:eastAsia="AppleSystemUIFont" w:hAnsi="AppleSystemUIFont"/>
          <w:b w:val="1"/>
          <w:rtl w:val="0"/>
        </w:rPr>
        <w:br w:type="textWrapping"/>
        <w:br w:type="textWrapping"/>
        <w:t xml:space="preserve">Popup:</w:t>
        <w:br w:type="textWrapping"/>
      </w:r>
      <w:r w:rsidDel="00000000" w:rsidR="00000000" w:rsidRPr="00000000">
        <w:rPr>
          <w:rFonts w:ascii="AppleSystemUIFont" w:cs="AppleSystemUIFont" w:eastAsia="AppleSystemUIFont" w:hAnsi="AppleSystemUIFont"/>
          <w:b w:val="1"/>
        </w:rPr>
        <w:drawing>
          <wp:inline distB="114300" distT="114300" distL="114300" distR="114300">
            <wp:extent cx="5267325" cy="4000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67325" cy="4000500"/>
                    </a:xfrm>
                    <a:prstGeom prst="rect"/>
                    <a:ln/>
                  </pic:spPr>
                </pic:pic>
              </a:graphicData>
            </a:graphic>
          </wp:inline>
        </w:drawing>
      </w:r>
      <w:r w:rsidDel="00000000" w:rsidR="00000000" w:rsidRPr="00000000">
        <w:rPr>
          <w:rFonts w:ascii="AppleSystemUIFont" w:cs="AppleSystemUIFont" w:eastAsia="AppleSystemUIFont" w:hAnsi="AppleSystemUIFont"/>
          <w:b w:val="1"/>
          <w:rtl w:val="0"/>
        </w:rPr>
        <w:br w:type="textWrapping"/>
        <w:br w:type="textWrapping"/>
        <w:t xml:space="preserve">Summary Page:</w:t>
        <w:br w:type="textWrapping"/>
      </w:r>
      <w:r w:rsidDel="00000000" w:rsidR="00000000" w:rsidRPr="00000000">
        <w:rPr>
          <w:rFonts w:ascii="AppleSystemUIFont" w:cs="AppleSystemUIFont" w:eastAsia="AppleSystemUIFont" w:hAnsi="AppleSystemUIFont"/>
          <w:b w:val="1"/>
        </w:rPr>
        <w:drawing>
          <wp:inline distB="114300" distT="114300" distL="114300" distR="114300">
            <wp:extent cx="5731200" cy="3302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020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paragraph" w:styleId="Heading4">
    <w:name w:val="heading 4"/>
    <w:basedOn w:val="Normal"/>
    <w:link w:val="Heading4Char"/>
    <w:uiPriority w:val="9"/>
    <w:qFormat w:val="1"/>
    <w:rsid w:val="00D01783"/>
    <w:pPr>
      <w:spacing w:after="100" w:afterAutospacing="1" w:before="100" w:beforeAutospacing="1"/>
      <w:outlineLvl w:val="3"/>
    </w:pPr>
    <w:rPr>
      <w:rFonts w:ascii="Times New Roman" w:cs="Times New Roman" w:eastAsia="Times New Roman" w:hAnsi="Times New Roman"/>
      <w:b w:val="1"/>
      <w:bCs w:val="1"/>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lang w:eastAsia="en-GB"/>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ww.ford.fr?at_preview_token=qMdpc5qnEsXNwW9lt5uKxQ&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85" TargetMode="External"/><Relationship Id="rId8" Type="http://schemas.openxmlformats.org/officeDocument/2006/relationships/hyperlink" Target="https://www.ford.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BxZepzFJlRjtqnTeDcXj0VDFA==">AMUW2mWwofILNNiGtfiUpYYhzV1lARCHZ/BzNH1UbgKeCSvuS1La1frDUFm2DDofUIh4qXz6ngJzOr4AyigrKMLcrqjfVKsXY4YmfMheGtCzcOgf5+ex/vk=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