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sz w:val="48"/>
          <w:szCs w:val="48"/>
          <w:rtl w:val="0"/>
        </w:rPr>
        <w:t xml:space="preserve">GTB</w:t>
      </w:r>
      <w:r w:rsidDel="00000000" w:rsidR="00000000" w:rsidRPr="00000000">
        <w:rPr>
          <w:rtl w:val="0"/>
        </w:rPr>
        <w:br w:type="textWrapping"/>
        <w:br w:type="textWrapping"/>
      </w:r>
      <w:r w:rsidDel="00000000" w:rsidR="00000000" w:rsidRPr="00000000">
        <w:rPr>
          <w:b w:val="1"/>
          <w:sz w:val="36"/>
          <w:szCs w:val="36"/>
          <w:rtl w:val="0"/>
        </w:rPr>
        <w:t xml:space="preserve">QA</w:t>
      </w:r>
      <w:r w:rsidDel="00000000" w:rsidR="00000000" w:rsidRPr="00000000">
        <w:rPr>
          <w:rtl w:val="0"/>
        </w:rPr>
        <w:br w:type="textWrapping"/>
        <w:t xml:space="preserve">[DEV 21.09] OT-1227 | AB | CZ | NPP | Puma RAC &amp; BP Popin</w:t>
      </w:r>
    </w:p>
    <w:p w:rsidR="00000000" w:rsidDel="00000000" w:rsidP="00000000" w:rsidRDefault="00000000" w:rsidRPr="00000000" w14:paraId="00000002">
      <w:pPr>
        <w:spacing w:line="276" w:lineRule="auto"/>
        <w:rPr>
          <w:sz w:val="32"/>
          <w:szCs w:val="32"/>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Jira ticket:</w:t>
      </w:r>
      <w:r w:rsidDel="00000000" w:rsidR="00000000" w:rsidRPr="00000000">
        <w:rPr>
          <w:rtl w:val="0"/>
        </w:rPr>
        <w:br w:type="textWrapping"/>
      </w:r>
      <w:hyperlink r:id="rId7">
        <w:r w:rsidDel="00000000" w:rsidR="00000000" w:rsidRPr="00000000">
          <w:rPr>
            <w:color w:val="1155cc"/>
            <w:u w:val="single"/>
            <w:rtl w:val="0"/>
          </w:rPr>
          <w:t xml:space="preserve">https://jira.uhub.biz/browse/GTBEMEAOPT-1193</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rPr/>
      </w:pPr>
      <w:r w:rsidDel="00000000" w:rsidR="00000000" w:rsidRPr="00000000">
        <w:rPr>
          <w:b w:val="1"/>
          <w:u w:val="single"/>
          <w:rtl w:val="0"/>
        </w:rPr>
        <w:t xml:space="preserve">Site</w:t>
      </w:r>
      <w:r w:rsidDel="00000000" w:rsidR="00000000" w:rsidRPr="00000000">
        <w:rPr>
          <w:rtl w:val="0"/>
        </w:rPr>
        <w:br w:type="textWrapping"/>
      </w:r>
      <w:hyperlink r:id="rId8">
        <w:r w:rsidDel="00000000" w:rsidR="00000000" w:rsidRPr="00000000">
          <w:rPr>
            <w:color w:val="1155cc"/>
            <w:u w:val="single"/>
            <w:rtl w:val="0"/>
          </w:rPr>
          <w:t xml:space="preserve">https://www.ford.co.uk/</w:t>
        </w:r>
      </w:hyperlink>
      <w:r w:rsidDel="00000000" w:rsidR="00000000" w:rsidRPr="00000000">
        <w:rPr>
          <w:rtl w:val="0"/>
        </w:rPr>
        <w:t xml:space="preserve"> </w:t>
      </w:r>
    </w:p>
    <w:p w:rsidR="00000000" w:rsidDel="00000000" w:rsidP="00000000" w:rsidRDefault="00000000" w:rsidRPr="00000000" w14:paraId="00000007">
      <w:pPr>
        <w:spacing w:line="276" w:lineRule="auto"/>
        <w:rPr>
          <w:color w:val="0563c1"/>
          <w:u w:val="single"/>
        </w:rPr>
      </w:pPr>
      <w:r w:rsidDel="00000000" w:rsidR="00000000" w:rsidRPr="00000000">
        <w:rPr>
          <w:rtl w:val="0"/>
        </w:rPr>
      </w:r>
    </w:p>
    <w:p w:rsidR="00000000" w:rsidDel="00000000" w:rsidP="00000000" w:rsidRDefault="00000000" w:rsidRPr="00000000" w14:paraId="00000008">
      <w:pPr>
        <w:spacing w:line="276" w:lineRule="auto"/>
        <w:rPr>
          <w:color w:val="0563c1"/>
          <w:u w:val="single"/>
        </w:rPr>
      </w:pPr>
      <w:r w:rsidDel="00000000" w:rsidR="00000000" w:rsidRPr="00000000">
        <w:rPr>
          <w:rtl w:val="0"/>
        </w:rPr>
      </w:r>
    </w:p>
    <w:p w:rsidR="00000000" w:rsidDel="00000000" w:rsidP="00000000" w:rsidRDefault="00000000" w:rsidRPr="00000000" w14:paraId="00000009">
      <w:pPr>
        <w:rPr/>
      </w:pPr>
      <w:r w:rsidDel="00000000" w:rsidR="00000000" w:rsidRPr="00000000">
        <w:rPr>
          <w:b w:val="1"/>
          <w:u w:val="single"/>
          <w:rtl w:val="0"/>
        </w:rPr>
        <w:t xml:space="preserve">Test location</w:t>
      </w:r>
      <w:r w:rsidDel="00000000" w:rsidR="00000000" w:rsidRPr="00000000">
        <w:rPr>
          <w:rtl w:val="0"/>
        </w:rPr>
        <w:br w:type="textWrapping"/>
        <w:t xml:space="preserve">Summary Page of BP Journey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tabs>
          <w:tab w:val="left" w:pos="0"/>
        </w:tabs>
        <w:spacing w:after="240" w:lineRule="auto"/>
        <w:rPr>
          <w:b w:val="1"/>
          <w:u w:val="single"/>
        </w:rPr>
      </w:pPr>
      <w:r w:rsidDel="00000000" w:rsidR="00000000" w:rsidRPr="00000000">
        <w:rPr>
          <w:b w:val="1"/>
          <w:u w:val="single"/>
          <w:rtl w:val="0"/>
        </w:rPr>
        <w:t xml:space="preserve">Test Description</w:t>
      </w:r>
    </w:p>
    <w:p w:rsidR="00000000" w:rsidDel="00000000" w:rsidP="00000000" w:rsidRDefault="00000000" w:rsidRPr="00000000" w14:paraId="0000000C">
      <w:pPr>
        <w:tabs>
          <w:tab w:val="left" w:pos="0"/>
        </w:tabs>
        <w:spacing w:after="240" w:line="276" w:lineRule="auto"/>
        <w:rPr/>
      </w:pPr>
      <w:r w:rsidDel="00000000" w:rsidR="00000000" w:rsidRPr="00000000">
        <w:rPr>
          <w:rtl w:val="0"/>
        </w:rPr>
        <w:t xml:space="preserve">View the QA Link. Click on Build &amp; Price. Then hover over any personal vehicle and select Build &amp; Price OR click on Vans &amp; Pickup to view the commercial vehicles and then click on the Build &amp; Price link below the vehicle.</w:t>
        <w:br w:type="textWrapping"/>
        <w:br w:type="textWrapping"/>
        <w:t xml:space="preserve">For Personal vehicles, complete the journey until you reach the summary page. Wait about 10 seconds, after which a popin will appear, with the following content:</w:t>
      </w:r>
    </w:p>
    <w:p w:rsidR="00000000" w:rsidDel="00000000" w:rsidP="00000000" w:rsidRDefault="00000000" w:rsidRPr="00000000" w14:paraId="0000000D">
      <w:pPr>
        <w:tabs>
          <w:tab w:val="left" w:pos="0"/>
        </w:tabs>
        <w:spacing w:after="240" w:line="276" w:lineRule="auto"/>
        <w:rPr/>
      </w:pPr>
      <w:r w:rsidDel="00000000" w:rsidR="00000000" w:rsidRPr="00000000">
        <w:rPr>
          <w:u w:val="single"/>
          <w:rtl w:val="0"/>
        </w:rPr>
        <w:t xml:space="preserve">Heading</w:t>
      </w:r>
      <w:r w:rsidDel="00000000" w:rsidR="00000000" w:rsidRPr="00000000">
        <w:rPr>
          <w:rtl w:val="0"/>
        </w:rPr>
        <w:t xml:space="preserve">: For a limited time you can send your unique configuration directly to your chosen Dealer and get an additional £100^ saving.</w:t>
      </w:r>
    </w:p>
    <w:p w:rsidR="00000000" w:rsidDel="00000000" w:rsidP="00000000" w:rsidRDefault="00000000" w:rsidRPr="00000000" w14:paraId="0000000E">
      <w:pPr>
        <w:tabs>
          <w:tab w:val="left" w:pos="0"/>
        </w:tabs>
        <w:spacing w:after="240" w:line="276" w:lineRule="auto"/>
        <w:rPr/>
      </w:pPr>
      <w:r w:rsidDel="00000000" w:rsidR="00000000" w:rsidRPr="00000000">
        <w:rPr>
          <w:u w:val="single"/>
          <w:rtl w:val="0"/>
        </w:rPr>
        <w:t xml:space="preserve">Above CTA</w:t>
      </w:r>
      <w:r w:rsidDel="00000000" w:rsidR="00000000" w:rsidRPr="00000000">
        <w:rPr>
          <w:rtl w:val="0"/>
        </w:rPr>
        <w:t xml:space="preserve">: Vehicle Name</w:t>
      </w:r>
    </w:p>
    <w:p w:rsidR="00000000" w:rsidDel="00000000" w:rsidP="00000000" w:rsidRDefault="00000000" w:rsidRPr="00000000" w14:paraId="0000000F">
      <w:pPr>
        <w:tabs>
          <w:tab w:val="left" w:pos="0"/>
        </w:tabs>
        <w:spacing w:after="240" w:line="276" w:lineRule="auto"/>
        <w:rPr/>
      </w:pPr>
      <w:r w:rsidDel="00000000" w:rsidR="00000000" w:rsidRPr="00000000">
        <w:rPr>
          <w:u w:val="single"/>
          <w:rtl w:val="0"/>
        </w:rPr>
        <w:t xml:space="preserve">CTA</w:t>
      </w:r>
      <w:r w:rsidDel="00000000" w:rsidR="00000000" w:rsidRPr="00000000">
        <w:rPr>
          <w:rtl w:val="0"/>
        </w:rPr>
        <w:t xml:space="preserve">: Send to dealer</w:t>
      </w:r>
    </w:p>
    <w:p w:rsidR="00000000" w:rsidDel="00000000" w:rsidP="00000000" w:rsidRDefault="00000000" w:rsidRPr="00000000" w14:paraId="00000010">
      <w:pPr>
        <w:tabs>
          <w:tab w:val="left" w:pos="0"/>
        </w:tabs>
        <w:spacing w:after="240" w:line="276" w:lineRule="auto"/>
        <w:rPr/>
      </w:pPr>
      <w:r w:rsidDel="00000000" w:rsidR="00000000" w:rsidRPr="00000000">
        <w:rPr>
          <w:u w:val="single"/>
          <w:rtl w:val="0"/>
        </w:rPr>
        <w:t xml:space="preserve">Disclaimer</w:t>
      </w:r>
      <w:r w:rsidDel="00000000" w:rsidR="00000000" w:rsidRPr="00000000">
        <w:rPr>
          <w:rtl w:val="0"/>
        </w:rPr>
        <w:t xml:space="preserve">: Subject to availability at a participating Ford Authorised Dealer for vehicles configured, contracted and registered between February 1st and March 31st 2021.</w:t>
      </w:r>
    </w:p>
    <w:p w:rsidR="00000000" w:rsidDel="00000000" w:rsidP="00000000" w:rsidRDefault="00000000" w:rsidRPr="00000000" w14:paraId="00000011">
      <w:pPr>
        <w:tabs>
          <w:tab w:val="left" w:pos="0"/>
        </w:tabs>
        <w:spacing w:after="240" w:line="276" w:lineRule="auto"/>
        <w:rPr/>
      </w:pPr>
      <w:r w:rsidDel="00000000" w:rsidR="00000000" w:rsidRPr="00000000">
        <w:rPr>
          <w:rtl w:val="0"/>
        </w:rPr>
        <w:t xml:space="preserve">^ Customer Saving - £100 incl. VAT on Passenger Vehicles and £100 excl. VAT on Commercial Vehicles.</w:t>
      </w:r>
    </w:p>
    <w:p w:rsidR="00000000" w:rsidDel="00000000" w:rsidP="00000000" w:rsidRDefault="00000000" w:rsidRPr="00000000" w14:paraId="00000012">
      <w:pPr>
        <w:tabs>
          <w:tab w:val="left" w:pos="0"/>
        </w:tabs>
        <w:spacing w:after="240" w:line="276" w:lineRule="auto"/>
        <w:rPr/>
      </w:pPr>
      <w:r w:rsidDel="00000000" w:rsidR="00000000" w:rsidRPr="00000000">
        <w:rPr>
          <w:rtl w:val="0"/>
        </w:rPr>
        <w:t xml:space="preserve">Available on all Passenger Vehicles (excluding Mustang Mach-E and GT) and all Commercial Vehicles. Retail, Privilege and Small Business sales only. (Excludes Renewal Bonus customers).</w:t>
      </w:r>
    </w:p>
    <w:p w:rsidR="00000000" w:rsidDel="00000000" w:rsidP="00000000" w:rsidRDefault="00000000" w:rsidRPr="00000000" w14:paraId="00000013">
      <w:pPr>
        <w:tabs>
          <w:tab w:val="left" w:pos="0"/>
        </w:tabs>
        <w:spacing w:after="240" w:line="276" w:lineRule="auto"/>
        <w:rPr/>
      </w:pPr>
      <w:r w:rsidDel="00000000" w:rsidR="00000000" w:rsidRPr="00000000">
        <w:rPr>
          <w:u w:val="single"/>
          <w:rtl w:val="0"/>
        </w:rPr>
        <w:t xml:space="preserve">CTA Link</w:t>
      </w:r>
      <w:r w:rsidDel="00000000" w:rsidR="00000000" w:rsidRPr="00000000">
        <w:rPr>
          <w:rtl w:val="0"/>
        </w:rPr>
        <w:t xml:space="preserve">: </w:t>
      </w:r>
      <w:hyperlink r:id="rId9">
        <w:r w:rsidDel="00000000" w:rsidR="00000000" w:rsidRPr="00000000">
          <w:rPr>
            <w:color w:val="1155cc"/>
            <w:u w:val="single"/>
            <w:rtl w:val="0"/>
          </w:rPr>
          <w:t xml:space="preserve">https://www.ford.co.uk/shop/price-and-locate/send-to-dealer-optimisation-2106462</w:t>
        </w:r>
      </w:hyperlink>
      <w:r w:rsidDel="00000000" w:rsidR="00000000" w:rsidRPr="00000000">
        <w:rPr>
          <w:rtl w:val="0"/>
        </w:rPr>
        <w:t xml:space="preserve"> with the vehicle pre-selected.</w:t>
      </w:r>
      <w:r w:rsidDel="00000000" w:rsidR="00000000" w:rsidRPr="00000000">
        <w:rPr>
          <w:rtl w:val="0"/>
        </w:rPr>
      </w:r>
    </w:p>
    <w:p w:rsidR="00000000" w:rsidDel="00000000" w:rsidP="00000000" w:rsidRDefault="00000000" w:rsidRPr="00000000" w14:paraId="00000014">
      <w:pPr>
        <w:tabs>
          <w:tab w:val="left" w:pos="0"/>
        </w:tabs>
        <w:spacing w:after="240" w:line="276" w:lineRule="auto"/>
        <w:rPr/>
      </w:pPr>
      <w:r w:rsidDel="00000000" w:rsidR="00000000" w:rsidRPr="00000000">
        <w:rPr>
          <w:rtl w:val="0"/>
        </w:rPr>
        <w:t xml:space="preserve">Personal vehicle screenshot:</w:t>
      </w:r>
      <w:r w:rsidDel="00000000" w:rsidR="00000000" w:rsidRPr="00000000">
        <w:rPr/>
        <w:drawing>
          <wp:inline distB="114300" distT="114300" distL="114300" distR="114300">
            <wp:extent cx="5731200" cy="2857500"/>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tabs>
          <w:tab w:val="left" w:pos="0"/>
        </w:tabs>
        <w:spacing w:after="240" w:line="276" w:lineRule="auto"/>
        <w:rPr/>
      </w:pPr>
      <w:r w:rsidDel="00000000" w:rsidR="00000000" w:rsidRPr="00000000">
        <w:rPr>
          <w:rtl w:val="0"/>
        </w:rPr>
        <w:t xml:space="preserve">If you selected a Commercial Vehicle, you’d have to click on “Summary &amp; Next Steps” in the top right corner. Then wait about 10 seconds. The content is exactly the same. Except for the CTA, which now says “Close” instead and just closes the popin on click.</w:t>
      </w:r>
    </w:p>
    <w:p w:rsidR="00000000" w:rsidDel="00000000" w:rsidP="00000000" w:rsidRDefault="00000000" w:rsidRPr="00000000" w14:paraId="00000016">
      <w:pPr>
        <w:tabs>
          <w:tab w:val="left" w:pos="0"/>
        </w:tabs>
        <w:spacing w:after="240" w:line="276" w:lineRule="auto"/>
        <w:rPr/>
      </w:pPr>
      <w:r w:rsidDel="00000000" w:rsidR="00000000" w:rsidRPr="00000000">
        <w:rPr>
          <w:rtl w:val="0"/>
        </w:rPr>
        <w:t xml:space="preserve">Commercial vehicle screenshot: (and yes, that vehicle is actually called the Fiesta Van Van)</w:t>
      </w:r>
      <w:r w:rsidDel="00000000" w:rsidR="00000000" w:rsidRPr="00000000">
        <w:rPr/>
        <w:drawing>
          <wp:inline distB="114300" distT="114300" distL="114300" distR="114300">
            <wp:extent cx="5731200" cy="4064000"/>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1200" cy="40640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tabs>
          <w:tab w:val="left" w:pos="0"/>
        </w:tabs>
        <w:spacing w:after="240" w:line="276" w:lineRule="auto"/>
        <w:rPr>
          <w:b w:val="1"/>
          <w:u w:val="single"/>
        </w:rPr>
      </w:pPr>
      <w:r w:rsidDel="00000000" w:rsidR="00000000" w:rsidRPr="00000000">
        <w:rPr>
          <w:b w:val="1"/>
          <w:u w:val="single"/>
          <w:rtl w:val="0"/>
        </w:rPr>
        <w:t xml:space="preserve">Browser:</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Device:</w:t>
      </w:r>
      <w:r w:rsidDel="00000000" w:rsidR="00000000" w:rsidRPr="00000000">
        <w:rPr>
          <w:rtl w:val="0"/>
        </w:rPr>
        <w:t xml:space="preserve"> </w:t>
        <w:br w:type="textWrapping"/>
        <w:t xml:space="preserve">All</w:t>
        <w:br w:type="textWrapping"/>
        <w:br w:type="textWrapping"/>
      </w:r>
      <w:r w:rsidDel="00000000" w:rsidR="00000000" w:rsidRPr="00000000">
        <w:rPr>
          <w:b w:val="1"/>
          <w:u w:val="single"/>
          <w:rtl w:val="0"/>
        </w:rPr>
        <w:t xml:space="preserve">Audience rules:</w:t>
      </w:r>
      <w:r w:rsidDel="00000000" w:rsidR="00000000" w:rsidRPr="00000000">
        <w:rPr>
          <w:rtl w:val="0"/>
        </w:rPr>
        <w:t xml:space="preserve"> </w:t>
        <w:br w:type="textWrapping"/>
        <w:t xml:space="preserve">All Visitors</w:t>
      </w:r>
      <w:r w:rsidDel="00000000" w:rsidR="00000000" w:rsidRPr="00000000">
        <w:rPr>
          <w:rtl w:val="0"/>
        </w:rPr>
      </w:r>
    </w:p>
    <w:p w:rsidR="00000000" w:rsidDel="00000000" w:rsidP="00000000" w:rsidRDefault="00000000" w:rsidRPr="00000000" w14:paraId="00000018">
      <w:pPr>
        <w:spacing w:line="276" w:lineRule="auto"/>
        <w:rPr>
          <w:b w:val="1"/>
          <w:color w:val="000000"/>
          <w:u w:val="single"/>
        </w:rPr>
      </w:pPr>
      <w:r w:rsidDel="00000000" w:rsidR="00000000" w:rsidRPr="00000000">
        <w:rPr>
          <w:rtl w:val="0"/>
        </w:rPr>
      </w:r>
    </w:p>
    <w:p w:rsidR="00000000" w:rsidDel="00000000" w:rsidP="00000000" w:rsidRDefault="00000000" w:rsidRPr="00000000" w14:paraId="00000019">
      <w:pPr>
        <w:spacing w:line="276" w:lineRule="auto"/>
        <w:rPr>
          <w:b w:val="1"/>
          <w:u w:val="single"/>
        </w:rPr>
      </w:pPr>
      <w:r w:rsidDel="00000000" w:rsidR="00000000" w:rsidRPr="00000000">
        <w:rPr>
          <w:b w:val="1"/>
          <w:color w:val="000000"/>
          <w:u w:val="single"/>
          <w:rtl w:val="0"/>
        </w:rPr>
        <w:t xml:space="preserve">QA Link:</w:t>
      </w:r>
      <w:r w:rsidDel="00000000" w:rsidR="00000000" w:rsidRPr="00000000">
        <w:rPr>
          <w:rtl w:val="0"/>
        </w:rPr>
      </w:r>
    </w:p>
    <w:p w:rsidR="00000000" w:rsidDel="00000000" w:rsidP="00000000" w:rsidRDefault="00000000" w:rsidRPr="00000000" w14:paraId="0000001A">
      <w:pPr>
        <w:spacing w:line="276" w:lineRule="auto"/>
        <w:rPr>
          <w:b w:val="1"/>
          <w:u w:val="single"/>
        </w:rPr>
      </w:pPr>
      <w:hyperlink r:id="rId12">
        <w:r w:rsidDel="00000000" w:rsidR="00000000" w:rsidRPr="00000000">
          <w:rPr>
            <w:b w:val="1"/>
            <w:color w:val="1155cc"/>
            <w:u w:val="single"/>
            <w:rtl w:val="0"/>
          </w:rPr>
          <w:t xml:space="preserve">https://www.ford.co.uk/?at_preview_token=c4aX0qHNxu1-Gua8Uwtapw&amp;at_preview_index=1_1&amp;at_preview_listed_activities_only=true</w:t>
        </w:r>
      </w:hyperlink>
      <w:r w:rsidDel="00000000" w:rsidR="00000000" w:rsidRPr="00000000">
        <w:rPr>
          <w:b w:val="1"/>
          <w:u w:val="single"/>
          <w:rtl w:val="0"/>
        </w:rPr>
        <w:t xml:space="preserve"> </w:t>
      </w:r>
      <w:r w:rsidDel="00000000" w:rsidR="00000000" w:rsidRPr="00000000">
        <w:rPr>
          <w:rtl w:val="0"/>
        </w:rPr>
      </w:r>
    </w:p>
    <w:p w:rsidR="00000000" w:rsidDel="00000000" w:rsidP="00000000" w:rsidRDefault="00000000" w:rsidRPr="00000000" w14:paraId="0000001B">
      <w:pPr>
        <w:pBdr>
          <w:top w:color="000000" w:space="0" w:sz="0" w:val="none"/>
          <w:left w:color="000000" w:space="0" w:sz="0" w:val="none"/>
          <w:bottom w:color="000000" w:space="0" w:sz="0" w:val="none"/>
          <w:right w:color="000000" w:space="0" w:sz="0" w:val="none"/>
          <w:between w:color="000000" w:space="0" w:sz="0" w:val="none"/>
        </w:pBdr>
        <w:shd w:fill="ffffff" w:val="clear"/>
        <w:spacing w:before="160" w:lineRule="auto"/>
        <w:rPr>
          <w:rFonts w:ascii="Roboto" w:cs="Roboto" w:eastAsia="Roboto" w:hAnsi="Roboto"/>
          <w:b w:val="1"/>
          <w:color w:val="172b4d"/>
          <w:sz w:val="21"/>
          <w:szCs w:val="21"/>
        </w:rPr>
      </w:pPr>
      <w:r w:rsidDel="00000000" w:rsidR="00000000" w:rsidRPr="00000000">
        <w:rPr>
          <w:rtl w:val="0"/>
        </w:rPr>
      </w:r>
    </w:p>
    <w:p w:rsidR="00000000" w:rsidDel="00000000" w:rsidP="00000000" w:rsidRDefault="00000000" w:rsidRPr="00000000" w14:paraId="0000001C">
      <w:pPr>
        <w:rPr>
          <w:rFonts w:ascii="AppleSystemUIFont" w:cs="AppleSystemUIFont" w:eastAsia="AppleSystemUIFont" w:hAnsi="AppleSystemUIFont"/>
          <w:b w:val="1"/>
        </w:rPr>
      </w:pPr>
      <w:r w:rsidDel="00000000" w:rsidR="00000000" w:rsidRPr="00000000">
        <w:rPr>
          <w:rtl w:val="0"/>
        </w:rPr>
      </w:r>
    </w:p>
    <w:p w:rsidR="00000000" w:rsidDel="00000000" w:rsidP="00000000" w:rsidRDefault="00000000" w:rsidRPr="00000000" w14:paraId="0000001D">
      <w:pPr>
        <w:rPr>
          <w:rFonts w:ascii="AppleSystemUIFont" w:cs="AppleSystemUIFont" w:eastAsia="AppleSystemUIFont" w:hAnsi="AppleSystemUIFont"/>
          <w:b w:val="1"/>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ppleSystemUI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Z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Pr>
      <w:sz w:val="24"/>
    </w:rPr>
  </w:style>
  <w:style w:type="paragraph" w:styleId="Heading4">
    <w:name w:val="heading 4"/>
    <w:basedOn w:val="Normal"/>
    <w:link w:val="Heading4Char"/>
    <w:uiPriority w:val="9"/>
    <w:qFormat w:val="1"/>
    <w:rsid w:val="00D01783"/>
    <w:pPr>
      <w:spacing w:after="100" w:afterAutospacing="1" w:before="100" w:beforeAutospacing="1"/>
      <w:outlineLvl w:val="3"/>
    </w:pPr>
    <w:rPr>
      <w:rFonts w:ascii="Times New Roman" w:cs="Times New Roman" w:eastAsia="Times New Roman" w:hAnsi="Times New Roman"/>
      <w:b w:val="1"/>
      <w:bCs w:val="1"/>
      <w:lang w:eastAsia="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D756CC"/>
    <w:rPr>
      <w:color w:val="0563c1"/>
      <w:u w:val="single"/>
    </w:rPr>
  </w:style>
  <w:style w:type="character" w:styleId="UnresolvedMention">
    <w:name w:val="Unresolved Mention"/>
    <w:basedOn w:val="DefaultParagraphFont"/>
    <w:uiPriority w:val="99"/>
    <w:semiHidden w:val="1"/>
    <w:unhideWhenUsed w:val="1"/>
    <w:qFormat w:val="1"/>
    <w:rsid w:val="0028067D"/>
    <w:rPr>
      <w:color w:val="605e5c"/>
      <w:shd w:color="auto" w:fill="e1dfdd" w:val="clear"/>
    </w:rPr>
  </w:style>
  <w:style w:type="character" w:styleId="FollowedHyperlink">
    <w:name w:val="FollowedHyperlink"/>
    <w:basedOn w:val="DefaultParagraphFont"/>
    <w:uiPriority w:val="99"/>
    <w:semiHidden w:val="1"/>
    <w:unhideWhenUsed w:val="1"/>
    <w:qFormat w:val="1"/>
    <w:rsid w:val="004849B0"/>
    <w:rPr>
      <w:color w:val="954f72" w:themeColor="followedHyperlink"/>
      <w:u w:val="single"/>
    </w:rPr>
  </w:style>
  <w:style w:type="character" w:styleId="StrongEmphasis" w:customStyle="1">
    <w:name w:val="Strong Emphasis"/>
    <w:qFormat w:val="1"/>
    <w:rPr>
      <w:b w:val="1"/>
      <w:bCs w:val="1"/>
    </w:rPr>
  </w:style>
  <w:style w:type="character" w:styleId="ListLabel1" w:customStyle="1">
    <w:name w:val="ListLabel 1"/>
    <w:qFormat w:val="1"/>
    <w:rPr>
      <w:u w:val="single"/>
    </w:rPr>
  </w:style>
  <w:style w:type="character" w:styleId="ListLabel2" w:customStyle="1">
    <w:name w:val="ListLabel 2"/>
    <w:qFormat w:val="1"/>
  </w:style>
  <w:style w:type="character" w:styleId="ListLabel3" w:customStyle="1">
    <w:name w:val="ListLabel 3"/>
    <w:qFormat w:val="1"/>
    <w:rPr>
      <w:u w:val="single"/>
    </w:rPr>
  </w:style>
  <w:style w:type="character" w:styleId="ListLabel4" w:customStyle="1">
    <w:name w:val="ListLabel 4"/>
    <w:qFormat w:val="1"/>
  </w:style>
  <w:style w:type="character" w:styleId="ListLabel5" w:customStyle="1">
    <w:name w:val="ListLabel 5"/>
    <w:qFormat w:val="1"/>
    <w:rPr>
      <w:u w:val="single"/>
    </w:rPr>
  </w:style>
  <w:style w:type="character" w:styleId="ListLabel6" w:customStyle="1">
    <w:name w:val="ListLabel 6"/>
    <w:qFormat w:val="1"/>
  </w:style>
  <w:style w:type="character" w:styleId="ListLabel7" w:customStyle="1">
    <w:name w:val="ListLabel 7"/>
    <w:qFormat w:val="1"/>
    <w:rPr>
      <w:u w:val="single"/>
    </w:rPr>
  </w:style>
  <w:style w:type="character" w:styleId="ListLabel8" w:customStyle="1">
    <w:name w:val="ListLabel 8"/>
    <w:qFormat w:val="1"/>
  </w:style>
  <w:style w:type="character" w:styleId="ListLabel9" w:customStyle="1">
    <w:name w:val="ListLabel 9"/>
    <w:qFormat w:val="1"/>
    <w:rPr>
      <w:b w:val="1"/>
    </w:rPr>
  </w:style>
  <w:style w:type="character" w:styleId="ListLabel10" w:customStyle="1">
    <w:name w:val="ListLabel 10"/>
    <w:qFormat w:val="1"/>
    <w:rPr>
      <w:u w:val="single"/>
    </w:rPr>
  </w:style>
  <w:style w:type="character" w:styleId="ListLabel11" w:customStyle="1">
    <w:name w:val="ListLabel 11"/>
    <w:qFormat w:val="1"/>
  </w:style>
  <w:style w:type="character" w:styleId="ListLabel12" w:customStyle="1">
    <w:name w:val="ListLabel 12"/>
    <w:qFormat w:val="1"/>
    <w:rPr>
      <w:b w:val="1"/>
      <w:color w:val="000000"/>
      <w:u w:val="none"/>
    </w:rPr>
  </w:style>
  <w:style w:type="character" w:styleId="ListLabel13" w:customStyle="1">
    <w:name w:val="ListLabel 13"/>
    <w:qFormat w:val="1"/>
    <w:rPr>
      <w:u w:val="single"/>
    </w:rPr>
  </w:style>
  <w:style w:type="character" w:styleId="ListLabel14" w:customStyle="1">
    <w:name w:val="ListLabel 14"/>
    <w:qFormat w:val="1"/>
  </w:style>
  <w:style w:type="character" w:styleId="ListLabel15" w:customStyle="1">
    <w:name w:val="ListLabel 15"/>
    <w:qFormat w:val="1"/>
    <w:rPr>
      <w:b w:val="1"/>
    </w:rPr>
  </w:style>
  <w:style w:type="character" w:styleId="ListLabel16" w:customStyle="1">
    <w:name w:val="ListLabel 16"/>
    <w:qFormat w:val="1"/>
    <w:rPr>
      <w:u w:val="single"/>
    </w:rPr>
  </w:style>
  <w:style w:type="character" w:styleId="ListLabel17" w:customStyle="1">
    <w:name w:val="ListLabel 17"/>
    <w:qFormat w:val="1"/>
    <w:rPr>
      <w:b w:val="1"/>
      <w:color w:val="000000"/>
      <w:u w:val="none"/>
    </w:rPr>
  </w:style>
  <w:style w:type="character" w:styleId="ListLabel18" w:customStyle="1">
    <w:name w:val="ListLabel 18"/>
    <w:qFormat w:val="1"/>
  </w:style>
  <w:style w:type="character" w:styleId="Bullets" w:customStyle="1">
    <w:name w:val="Bullets"/>
    <w:qFormat w:val="1"/>
    <w:rPr>
      <w:rFonts w:ascii="OpenSymbol" w:cs="OpenSymbol" w:eastAsia="OpenSymbol" w:hAnsi="OpenSymbol"/>
    </w:rPr>
  </w:style>
  <w:style w:type="character" w:styleId="ListLabel19" w:customStyle="1">
    <w:name w:val="ListLabel 19"/>
    <w:qFormat w:val="1"/>
  </w:style>
  <w:style w:type="character" w:styleId="ListLabel20" w:customStyle="1">
    <w:name w:val="ListLabel 20"/>
    <w:qFormat w:val="1"/>
  </w:style>
  <w:style w:type="character" w:styleId="ListLabel21" w:customStyle="1">
    <w:name w:val="ListLabel 21"/>
    <w:qFormat w:val="1"/>
  </w:style>
  <w:style w:type="character" w:styleId="ListLabel22" w:customStyle="1">
    <w:name w:val="ListLabel 22"/>
    <w:qFormat w:val="1"/>
  </w:style>
  <w:style w:type="character" w:styleId="ins" w:customStyle="1">
    <w:name w:val="ins"/>
    <w:qFormat w:val="1"/>
  </w:style>
  <w:style w:type="character" w:styleId="Emphasis">
    <w:name w:val="Emphasis"/>
    <w:qFormat w:val="1"/>
    <w:rPr>
      <w:i w:val="1"/>
      <w:iCs w:val="1"/>
    </w:rPr>
  </w:style>
  <w:style w:type="character" w:styleId="ListLabel23" w:customStyle="1">
    <w:name w:val="ListLabel 23"/>
    <w:qFormat w:val="1"/>
    <w:rPr>
      <w:rFonts w:cs="OpenSymbol"/>
    </w:rPr>
  </w:style>
  <w:style w:type="character" w:styleId="ListLabel24" w:customStyle="1">
    <w:name w:val="ListLabel 24"/>
    <w:qFormat w:val="1"/>
    <w:rPr>
      <w:rFonts w:cs="OpenSymbol"/>
    </w:rPr>
  </w:style>
  <w:style w:type="character" w:styleId="ListLabel25" w:customStyle="1">
    <w:name w:val="ListLabel 25"/>
    <w:qFormat w:val="1"/>
    <w:rPr>
      <w:rFonts w:cs="OpenSymbol"/>
    </w:rPr>
  </w:style>
  <w:style w:type="character" w:styleId="ListLabel26" w:customStyle="1">
    <w:name w:val="ListLabel 26"/>
    <w:qFormat w:val="1"/>
    <w:rPr>
      <w:rFonts w:cs="OpenSymbol"/>
    </w:rPr>
  </w:style>
  <w:style w:type="character" w:styleId="ListLabel27" w:customStyle="1">
    <w:name w:val="ListLabel 27"/>
    <w:qFormat w:val="1"/>
    <w:rPr>
      <w:rFonts w:cs="OpenSymbol"/>
    </w:rPr>
  </w:style>
  <w:style w:type="character" w:styleId="ListLabel28" w:customStyle="1">
    <w:name w:val="ListLabel 28"/>
    <w:qFormat w:val="1"/>
    <w:rPr>
      <w:rFonts w:cs="OpenSymbol"/>
    </w:rPr>
  </w:style>
  <w:style w:type="character" w:styleId="ListLabel29" w:customStyle="1">
    <w:name w:val="ListLabel 29"/>
    <w:qFormat w:val="1"/>
    <w:rPr>
      <w:rFonts w:cs="OpenSymbol"/>
    </w:rPr>
  </w:style>
  <w:style w:type="character" w:styleId="ListLabel30" w:customStyle="1">
    <w:name w:val="ListLabel 30"/>
    <w:qFormat w:val="1"/>
    <w:rPr>
      <w:rFonts w:cs="OpenSymbol"/>
    </w:rPr>
  </w:style>
  <w:style w:type="character" w:styleId="ListLabel31" w:customStyle="1">
    <w:name w:val="ListLabel 31"/>
    <w:qFormat w:val="1"/>
    <w:rPr>
      <w:rFonts w:cs="OpenSymbol"/>
    </w:rPr>
  </w:style>
  <w:style w:type="character" w:styleId="ListLabel32" w:customStyle="1">
    <w:name w:val="ListLabel 32"/>
    <w:qFormat w:val="1"/>
  </w:style>
  <w:style w:type="character" w:styleId="ListLabel33" w:customStyle="1">
    <w:name w:val="ListLabel 33"/>
    <w:qFormat w:val="1"/>
    <w:rPr>
      <w:rFonts w:cs="OpenSymbol"/>
    </w:rPr>
  </w:style>
  <w:style w:type="character" w:styleId="ListLabel34" w:customStyle="1">
    <w:name w:val="ListLabel 34"/>
    <w:qFormat w:val="1"/>
    <w:rPr>
      <w:rFonts w:cs="OpenSymbol"/>
    </w:rPr>
  </w:style>
  <w:style w:type="character" w:styleId="ListLabel35" w:customStyle="1">
    <w:name w:val="ListLabel 35"/>
    <w:qFormat w:val="1"/>
    <w:rPr>
      <w:rFonts w:cs="OpenSymbol"/>
    </w:rPr>
  </w:style>
  <w:style w:type="character" w:styleId="ListLabel36" w:customStyle="1">
    <w:name w:val="ListLabel 36"/>
    <w:qFormat w:val="1"/>
    <w:rPr>
      <w:rFonts w:cs="OpenSymbol"/>
    </w:rPr>
  </w:style>
  <w:style w:type="character" w:styleId="ListLabel37" w:customStyle="1">
    <w:name w:val="ListLabel 37"/>
    <w:qFormat w:val="1"/>
    <w:rPr>
      <w:rFonts w:cs="OpenSymbol"/>
    </w:rPr>
  </w:style>
  <w:style w:type="character" w:styleId="ListLabel38" w:customStyle="1">
    <w:name w:val="ListLabel 38"/>
    <w:qFormat w:val="1"/>
    <w:rPr>
      <w:rFonts w:cs="OpenSymbol"/>
    </w:rPr>
  </w:style>
  <w:style w:type="character" w:styleId="ListLabel39" w:customStyle="1">
    <w:name w:val="ListLabel 39"/>
    <w:qFormat w:val="1"/>
    <w:rPr>
      <w:rFonts w:cs="OpenSymbol"/>
    </w:rPr>
  </w:style>
  <w:style w:type="character" w:styleId="ListLabel40" w:customStyle="1">
    <w:name w:val="ListLabel 40"/>
    <w:qFormat w:val="1"/>
    <w:rPr>
      <w:rFonts w:cs="OpenSymbol"/>
    </w:rPr>
  </w:style>
  <w:style w:type="character" w:styleId="ListLabel41" w:customStyle="1">
    <w:name w:val="ListLabel 41"/>
    <w:qFormat w:val="1"/>
    <w:rPr>
      <w:rFonts w:cs="OpenSymbol"/>
    </w:rPr>
  </w:style>
  <w:style w:type="character" w:styleId="ListLabel42" w:customStyle="1">
    <w:name w:val="ListLabel 42"/>
    <w:qFormat w:val="1"/>
  </w:style>
  <w:style w:type="paragraph" w:styleId="Heading" w:customStyle="1">
    <w:name w:val="Heading"/>
    <w:basedOn w:val="Normal"/>
    <w:next w:val="BodyText"/>
    <w:qFormat w:val="1"/>
    <w:pPr>
      <w:keepNext w:val="1"/>
      <w:spacing w:after="120" w:before="240"/>
    </w:pPr>
    <w:rPr>
      <w:rFonts w:ascii="Liberation Sans" w:cs="Lohit Devanagari"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val="1"/>
    <w:pPr>
      <w:suppressLineNumbers w:val="1"/>
      <w:spacing w:after="120" w:before="120"/>
    </w:pPr>
    <w:rPr>
      <w:rFonts w:cs="Lohit Devanagari"/>
      <w:i w:val="1"/>
      <w:iCs w:val="1"/>
    </w:rPr>
  </w:style>
  <w:style w:type="paragraph" w:styleId="Index" w:customStyle="1">
    <w:name w:val="Index"/>
    <w:basedOn w:val="Normal"/>
    <w:qFormat w:val="1"/>
    <w:pPr>
      <w:suppressLineNumbers w:val="1"/>
    </w:pPr>
    <w:rPr>
      <w:rFonts w:cs="Lohit Devanagari"/>
    </w:rPr>
  </w:style>
  <w:style w:type="paragraph" w:styleId="ListParagraph">
    <w:name w:val="List Paragraph"/>
    <w:basedOn w:val="Normal"/>
    <w:uiPriority w:val="34"/>
    <w:qFormat w:val="1"/>
    <w:rsid w:val="00D756CC"/>
    <w:pPr>
      <w:ind w:left="720"/>
    </w:pPr>
    <w:rPr>
      <w:rFonts w:ascii="Calibri" w:cs="Calibri" w:hAnsi="Calibri"/>
      <w:lang w:eastAsia="en-ZA"/>
    </w:rPr>
  </w:style>
  <w:style w:type="character" w:styleId="Hyperlink">
    <w:name w:val="Hyperlink"/>
    <w:basedOn w:val="DefaultParagraphFont"/>
    <w:uiPriority w:val="99"/>
    <w:unhideWhenUsed w:val="1"/>
    <w:rPr>
      <w:color w:val="0563c1" w:themeColor="hyperlink"/>
      <w:u w:val="single"/>
    </w:rPr>
  </w:style>
  <w:style w:type="character" w:styleId="Heading4Char" w:customStyle="1">
    <w:name w:val="Heading 4 Char"/>
    <w:basedOn w:val="DefaultParagraphFont"/>
    <w:link w:val="Heading4"/>
    <w:uiPriority w:val="9"/>
    <w:rsid w:val="00D01783"/>
    <w:rPr>
      <w:rFonts w:ascii="Times New Roman" w:cs="Times New Roman" w:eastAsia="Times New Roman" w:hAnsi="Times New Roman"/>
      <w:b w:val="1"/>
      <w:bCs w:val="1"/>
      <w:sz w:val="24"/>
      <w:lang w:eastAsia="en-GB"/>
    </w:rPr>
  </w:style>
  <w:style w:type="paragraph" w:styleId="drop" w:customStyle="1">
    <w:name w:val="drop"/>
    <w:basedOn w:val="Normal"/>
    <w:rsid w:val="00D01783"/>
    <w:pPr>
      <w:spacing w:after="100" w:afterAutospacing="1" w:before="100" w:beforeAutospacing="1"/>
    </w:pPr>
    <w:rPr>
      <w:rFonts w:ascii="Times New Roman" w:cs="Times New Roman" w:eastAsia="Times New Roman" w:hAnsi="Times New Roman"/>
      <w:lang w:eastAsia="en-GB"/>
    </w:rPr>
  </w:style>
  <w:style w:type="character" w:styleId="aui-icon" w:customStyle="1">
    <w:name w:val="aui-icon"/>
    <w:basedOn w:val="DefaultParagraphFont"/>
    <w:rsid w:val="00D01783"/>
  </w:style>
  <w:style w:type="paragraph" w:styleId="NormalWeb">
    <w:name w:val="Normal (Web)"/>
    <w:basedOn w:val="Normal"/>
    <w:uiPriority w:val="99"/>
    <w:unhideWhenUsed w:val="1"/>
    <w:rsid w:val="003E2587"/>
    <w:pPr>
      <w:spacing w:after="100" w:afterAutospacing="1" w:before="100" w:beforeAutospacing="1"/>
    </w:pPr>
    <w:rPr>
      <w:rFonts w:ascii="Times New Roman" w:cs="Times New Roman" w:eastAsia="Times New Roman" w:hAnsi="Times New Roman"/>
      <w:lang w:eastAsia="en-GB"/>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1.png"/><Relationship Id="rId12" Type="http://schemas.openxmlformats.org/officeDocument/2006/relationships/hyperlink" Target="https://www.ford.co.uk/?at_preview_token=c4aX0qHNxu1-Gua8Uwtapw&amp;at_preview_index=1_1&amp;at_preview_listed_activities_only=true" TargetMode="External"/><Relationship Id="rId9" Type="http://schemas.openxmlformats.org/officeDocument/2006/relationships/hyperlink" Target="https://www.ford.co.uk/shop/price-and-locate/send-to-dealer-optimisation-2106462"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jira.uhub.biz/browse/GTBEMEAOPT-1193" TargetMode="External"/><Relationship Id="rId8" Type="http://schemas.openxmlformats.org/officeDocument/2006/relationships/hyperlink" Target="https://www.ford.co.u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HAWVMd8dO9ty4sQWQGSIzKprpw==">AMUW2mXk/384OGiXcdjV+0KpQCt0LWZ7HT1mFgWESekJqRgO0kDy/NvEz4IbjvwZ0WCfaGgbWxW9T6L255paE3AKJSvulCTkGu9SApu2A7WXkAG4y7nT/sA=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2020-02-10T12:54:00Z</dcterms:created>
  <dc:creator>Friedman, Janine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