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sz w:val="48"/>
          <w:szCs w:val="48"/>
        </w:rPr>
        <w:t>GTB</w:t>
      </w:r>
      <w:r>
        <w:rPr/>
        <w:br/>
        <w:br/>
      </w:r>
      <w:r>
        <w:rPr>
          <w:b/>
          <w:sz w:val="36"/>
          <w:szCs w:val="36"/>
        </w:rPr>
        <w:t>QA</w:t>
      </w:r>
      <w:r>
        <w:rPr/>
        <w:br/>
        <w:t>[DEV 20.48] OT-1096 | XT | ES |  | 3.0 Popin - NGC C2C</w:t>
      </w:r>
    </w:p>
    <w:p>
      <w:pPr>
        <w:pStyle w:val="Normal"/>
        <w:spacing w:lineRule="auto" w:line="276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76"/>
        <w:rPr/>
      </w:pPr>
      <w:r>
        <w:rPr>
          <w:b/>
          <w:u w:val="single"/>
        </w:rPr>
        <w:t>Jira ticket:</w:t>
      </w:r>
      <w:r>
        <w:rPr/>
        <w:br/>
      </w:r>
      <w:hyperlink r:id="rId2">
        <w:r>
          <w:rPr>
            <w:rStyle w:val="InternetLink"/>
          </w:rPr>
          <w:t>https://jira.uhub.biz/browse/GTBEMEAOPT-1196</w:t>
        </w:r>
      </w:hyperlink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u w:val="single"/>
        </w:rPr>
        <w:t>Site</w:t>
      </w:r>
      <w:r>
        <w:rPr/>
        <w:br/>
      </w:r>
      <w:hyperlink r:id="rId3">
        <w:r>
          <w:rPr>
            <w:rStyle w:val="InternetLink"/>
          </w:rPr>
          <w:t>https://www.ford.</w:t>
        </w:r>
        <w:r>
          <w:rPr>
            <w:rStyle w:val="InternetLink"/>
          </w:rPr>
          <w:t>es</w:t>
        </w:r>
      </w:hyperlink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pStyle w:val="Normal"/>
        <w:spacing w:lineRule="auto" w:line="276"/>
        <w:rPr/>
      </w:pPr>
      <w:r>
        <w:rPr>
          <w:b/>
          <w:u w:val="single"/>
        </w:rPr>
        <w:t>Test location</w:t>
      </w:r>
      <w:r>
        <w:rPr/>
        <w:br/>
      </w:r>
      <w:hyperlink r:id="rId4">
        <w:r>
          <w:rPr>
            <w:rStyle w:val="InternetLink"/>
          </w:rPr>
          <w:t>https://www.ford.</w:t>
        </w:r>
      </w:hyperlink>
      <w:r>
        <w:rPr>
          <w:rStyle w:val="InternetLink"/>
        </w:rPr>
        <w:t>es</w:t>
      </w:r>
      <w:r>
        <w:rPr>
          <w:b/>
          <w:u w:val="single"/>
        </w:rPr>
        <w:b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Hypothesis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p>
      <w:pPr>
        <w:pStyle w:val="Normal"/>
        <w:shd w:val="clear" w:color="auto" w:fill="FFFFFF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Analysis on the TDR Popin and UC5 has shown that TDR Popin converts at a higher rate than UC5 for TDR Completes. We know that we can expect the conversion rate to be 100% higher than onsite conversion. We expect the same to apply for c2c. As such, we want to ensure we keep leveraging this popin and its audience even during the pandemic.</w:t>
      </w:r>
    </w:p>
    <w:p>
      <w:pPr>
        <w:pStyle w:val="Normal"/>
        <w:shd w:val="clear" w:color="auto" w:fill="FFFFFF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>
          <w:b/>
          <w:b/>
          <w:u w:val="single"/>
        </w:rPr>
      </w:pPr>
      <w:r>
        <w:rPr>
          <w:b/>
          <w:u w:val="single"/>
        </w:rPr>
        <w:t>Test Description</w:t>
      </w:r>
    </w:p>
    <w:p>
      <w:pPr>
        <w:pStyle w:val="Normal"/>
        <w:shd w:val="clear" w:color="auto" w:fill="FFFFFF"/>
        <w:spacing w:beforeAutospacing="1" w:afterAutospacing="1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 xml:space="preserve">View all visitors link , configure any vehicle in the private vehicles  NGC page ,currently ford.es does not have commercial vehicle page NGC page </w:t>
      </w:r>
    </w:p>
    <w:p>
      <w:pPr>
        <w:pStyle w:val="Normal"/>
        <w:shd w:val="clear" w:color="auto" w:fill="FFFFFF"/>
        <w:spacing w:beforeAutospacing="1" w:afterAutospacing="1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 xml:space="preserve">Popin should appear across ford.es with the following exceptions </w:t>
      </w:r>
    </w:p>
    <w:p>
      <w:pPr>
        <w:pStyle w:val="Normal"/>
        <w:numPr>
          <w:ilvl w:val="0"/>
          <w:numId w:val="1"/>
        </w:numPr>
        <w:shd w:val="clear" w:color="auto" w:fill="FFFFFF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Owners: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"clientes"  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Owners Dashboard: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"dashboard"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Account: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"ford-account" and "/authsvc/"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Login: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"login" 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Registration: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"register"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FordPass: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"fordpass"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b/>
          <w:bCs/>
          <w:color w:val="172B4D"/>
          <w:sz w:val="21"/>
          <w:szCs w:val="21"/>
          <w:lang w:val="en-US"/>
        </w:rPr>
        <w:t>Build &amp; Price:</w:t>
      </w: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 URL contains "build-and-price" and "compra/encuentra/bp/"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Please also exclude from this activity any GUX 3.0 page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Show the popin according to the following rules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Allowed on nameplate page, for the vehicle in the popin eg Fiesta popin to only appear on Fiesta NPP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Appear in PV promotions only if it is a personal vehicle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Appear in CV promotions only if it is a commercial vehicle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Appear in CV landing page only if commercial vehicle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Never appear on showroom (BP or generic)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="0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Never appear in Fleet section</w:t>
      </w:r>
    </w:p>
    <w:p>
      <w:pPr>
        <w:pStyle w:val="Normal"/>
        <w:numPr>
          <w:ilvl w:val="1"/>
          <w:numId w:val="1"/>
        </w:numPr>
        <w:shd w:val="clear" w:color="auto" w:fill="FFFFFF"/>
        <w:spacing w:before="0" w:afterAutospacing="1"/>
        <w:ind w:left="0" w:hanging="360"/>
        <w:rPr>
          <w:rFonts w:ascii="Segoe UI" w:hAnsi="Segoe UI" w:eastAsia="Times New Roman" w:cs="Segoe UI"/>
          <w:color w:val="172B4D"/>
          <w:sz w:val="21"/>
          <w:szCs w:val="21"/>
          <w:lang w:val="en-US"/>
        </w:rPr>
      </w:pPr>
      <w:r>
        <w:rPr>
          <w:rFonts w:eastAsia="Times New Roman" w:cs="Segoe UI" w:ascii="Segoe UI" w:hAnsi="Segoe UI"/>
          <w:color w:val="172B4D"/>
          <w:sz w:val="21"/>
          <w:szCs w:val="21"/>
          <w:lang w:val="en-US"/>
        </w:rPr>
        <w:t>Never appear in Approved Used section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  <w:t>The Popup:</w:t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  <w:drawing>
          <wp:inline distT="0" distB="0" distL="0" distR="0">
            <wp:extent cx="5731510" cy="3223895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  <w:tab/>
        <w:tab/>
        <w:tab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/>
      </w:pPr>
      <w:r>
        <w:rPr/>
        <w:br/>
      </w:r>
    </w:p>
    <w:p>
      <w:pPr>
        <w:pStyle w:val="Normal"/>
        <w:tabs>
          <w:tab w:val="clear" w:pos="720"/>
          <w:tab w:val="left" w:pos="0" w:leader="none"/>
        </w:tabs>
        <w:spacing w:lineRule="auto" w:line="276" w:before="0" w:after="240"/>
        <w:rPr>
          <w:b/>
          <w:b/>
          <w:u w:val="single"/>
        </w:rPr>
      </w:pPr>
      <w:r>
        <w:rPr>
          <w:b/>
          <w:u w:val="single"/>
        </w:rPr>
        <w:t>Browser:</w:t>
      </w:r>
      <w:r>
        <w:rPr/>
        <w:t xml:space="preserve"> </w:t>
        <w:br/>
        <w:t>All</w:t>
        <w:br/>
        <w:br/>
      </w:r>
      <w:r>
        <w:rPr>
          <w:b/>
          <w:u w:val="single"/>
        </w:rPr>
        <w:t>Device:</w:t>
      </w:r>
      <w:r>
        <w:rPr/>
        <w:t xml:space="preserve"> </w:t>
        <w:br/>
        <w:t>All</w:t>
        <w:br/>
        <w:br/>
      </w:r>
      <w:r>
        <w:rPr>
          <w:b/>
          <w:u w:val="single"/>
        </w:rPr>
        <w:t>Audience rules:</w:t>
      </w:r>
      <w:r>
        <w:rPr/>
        <w:t xml:space="preserve"> </w:t>
        <w:br/>
        <w:t>All traffic</w:t>
        <w:br/>
        <w:br/>
      </w:r>
    </w:p>
    <w:p>
      <w:pPr>
        <w:pStyle w:val="Normal"/>
        <w:spacing w:lineRule="auto" w:line="276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Normal"/>
        <w:spacing w:lineRule="auto" w:line="276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QA Links:</w:t>
      </w:r>
    </w:p>
    <w:p>
      <w:pPr>
        <w:pStyle w:val="Normal"/>
        <w:spacing w:lineRule="auto" w:line="276"/>
        <w:rPr>
          <w:b/>
          <w:b/>
          <w:color w:val="000000"/>
          <w:u w:val="single"/>
        </w:rPr>
      </w:pPr>
      <w:hyperlink r:id="rId6">
        <w:bookmarkStart w:id="0" w:name="_GoBack"/>
        <w:bookmarkEnd w:id="0"/>
        <w:r>
          <w:rPr>
            <w:rStyle w:val="InternetLink"/>
            <w:b/>
            <w:color w:val="000000"/>
            <w:u w:val="single"/>
          </w:rPr>
          <w:t>https://www.ford.es/?at_preview_token=95DVt0iS8bS4jl4M60jSxA&amp;at_preview_index=1_1&amp;at_preview_listed_activities_only=false</w:t>
        </w:r>
      </w:hyperlink>
      <w:hyperlink r:id="rId7">
        <w:r>
          <w:rPr>
            <w:b/>
            <w:color w:val="000000"/>
            <w:u w:val="single"/>
          </w:rPr>
          <w:t xml:space="preserve"> </w:t>
        </w:r>
      </w:hyperlink>
    </w:p>
    <w:p>
      <w:pPr>
        <w:pStyle w:val="Normal"/>
        <w:rPr>
          <w:b/>
          <w:b/>
        </w:rPr>
      </w:pPr>
      <w:r>
        <w:rPr>
          <w:b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/>
        <w:spacing w:lineRule="auto" w:line="276" w:before="0" w:after="140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pStyle w:val="Normal"/>
        <w:pBdr/>
        <w:spacing w:lineRule="auto" w:line="276" w:before="0" w:after="140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pStyle w:val="Normal"/>
        <w:pBdr/>
        <w:spacing w:lineRule="auto" w:line="276" w:before="0" w:after="140"/>
        <w:rPr>
          <w:color w:val="0563C1"/>
          <w:u w:val="single"/>
        </w:rPr>
      </w:pPr>
      <w:r>
        <w:rPr>
          <w:color w:val="0563C1"/>
          <w:u w:val="single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s" w:customStyle="1">
    <w:name w:val="ins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d756cc"/>
    <w:pPr>
      <w:ind w:left="720" w:hanging="0"/>
    </w:pPr>
    <w:rPr>
      <w:lang w:eastAsia="en-Z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ira.uhub.biz/browse/GTBEMEAOPT-1196" TargetMode="External"/><Relationship Id="rId3" Type="http://schemas.openxmlformats.org/officeDocument/2006/relationships/hyperlink" Target="https://www.ford.es/" TargetMode="External"/><Relationship Id="rId4" Type="http://schemas.openxmlformats.org/officeDocument/2006/relationships/hyperlink" Target="https://www.ford./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www.ford.es/?at_preview_token=95DVt0iS8bS4jl4M60jSxA&amp;at_preview_index=1_1&amp;at_preview_listed_activities_only=false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gP3lQN13cYyQ3voxD6TlJCN3Ng==">AMUW2mVGARdhAVCeNd9e6bUh1x33cptNm23ZiTFikCbf+dA3JkN2DRNoVnc+vplUgSVopDmtwi4i6nirosXNAfNg5XhvjjmBHikoixbnhLtbIbgTKldEMLI=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3</Pages>
  <Words>275</Words>
  <Characters>1495</Characters>
  <CharactersWithSpaces>1749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2020-12-04T10:57:00Z</dcterms:created>
  <dc:creator>Friedman, Janine</dc:creator>
  <dc:description/>
  <dc:language>en-ZA</dc:language>
  <cp:lastModifiedBy/>
  <dcterms:modified xsi:type="dcterms:W3CDTF">2021-03-03T11:44:19Z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