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21.11] OT-1230 | XT | IT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https://www.ford.it/</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A">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B">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F">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A">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B">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C">
      <w:pPr>
        <w:numPr>
          <w:ilvl w:val="0"/>
          <w:numId w:val="1"/>
        </w:numPr>
        <w:tabs>
          <w:tab w:val="left" w:pos="0"/>
        </w:tabs>
        <w:spacing w:line="276" w:lineRule="auto"/>
        <w:ind w:left="720" w:hanging="360"/>
        <w:rPr>
          <w:u w:val="none"/>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D">
      <w:pPr>
        <w:numPr>
          <w:ilvl w:val="0"/>
          <w:numId w:val="1"/>
        </w:numPr>
        <w:tabs>
          <w:tab w:val="left" w:pos="0"/>
        </w:tabs>
        <w:spacing w:line="276" w:lineRule="auto"/>
        <w:ind w:left="720" w:hanging="360"/>
        <w:rPr>
          <w:u w:val="none"/>
        </w:rPr>
      </w:pPr>
      <w:r w:rsidDel="00000000" w:rsidR="00000000" w:rsidRPr="00000000">
        <w:rPr>
          <w:rtl w:val="0"/>
        </w:rPr>
        <w:t xml:space="preserve">If vehicle is Vignale, then show also on Vignale page (see footer on Homepage for link)</w:t>
      </w:r>
    </w:p>
    <w:p w:rsidR="00000000" w:rsidDel="00000000" w:rsidP="00000000" w:rsidRDefault="00000000" w:rsidRPr="00000000" w14:paraId="0000001E">
      <w:pPr>
        <w:numPr>
          <w:ilvl w:val="0"/>
          <w:numId w:val="1"/>
        </w:numPr>
        <w:tabs>
          <w:tab w:val="left" w:pos="0"/>
        </w:tabs>
        <w:spacing w:line="276" w:lineRule="auto"/>
        <w:ind w:left="720" w:hanging="360"/>
        <w:rPr>
          <w:u w:val="none"/>
        </w:rPr>
      </w:pPr>
      <w:r w:rsidDel="00000000" w:rsidR="00000000" w:rsidRPr="00000000">
        <w:rPr>
          <w:rtl w:val="0"/>
        </w:rPr>
        <w:t xml:space="preserve">If vehicle is Transit Custom Nugget or Transit Custom Nugget Plus, then show also on Motorhome page (see footer on Homepage for link)</w:t>
      </w:r>
    </w:p>
    <w:p w:rsidR="00000000" w:rsidDel="00000000" w:rsidP="00000000" w:rsidRDefault="00000000" w:rsidRPr="00000000" w14:paraId="0000001F">
      <w:pPr>
        <w:numPr>
          <w:ilvl w:val="0"/>
          <w:numId w:val="1"/>
        </w:numPr>
        <w:tabs>
          <w:tab w:val="left" w:pos="0"/>
        </w:tabs>
        <w:spacing w:line="276" w:lineRule="auto"/>
        <w:ind w:left="720" w:hanging="360"/>
        <w:rPr>
          <w:u w:val="none"/>
        </w:rPr>
      </w:pPr>
      <w:r w:rsidDel="00000000" w:rsidR="00000000" w:rsidRPr="00000000">
        <w:rPr>
          <w:rtl w:val="0"/>
        </w:rPr>
        <w:t xml:space="preserve">If vehicle is Fiesta, Ecosport or Puma, then show also on Small Vehicle page (see footer on Homepage for link)</w:t>
      </w:r>
    </w:p>
    <w:p w:rsidR="00000000" w:rsidDel="00000000" w:rsidP="00000000" w:rsidRDefault="00000000" w:rsidRPr="00000000" w14:paraId="00000020">
      <w:pPr>
        <w:numPr>
          <w:ilvl w:val="0"/>
          <w:numId w:val="1"/>
        </w:numPr>
        <w:tabs>
          <w:tab w:val="left" w:pos="0"/>
        </w:tabs>
        <w:spacing w:line="276" w:lineRule="auto"/>
        <w:ind w:left="720" w:hanging="360"/>
        <w:rPr>
          <w:u w:val="none"/>
        </w:rPr>
      </w:pPr>
      <w:r w:rsidDel="00000000" w:rsidR="00000000" w:rsidRPr="00000000">
        <w:rPr>
          <w:rtl w:val="0"/>
        </w:rPr>
        <w:t xml:space="preserve">If vehicle is Tourneo Courier, Tourneo Connect, S-Max, Galaxy or Tourneo Custom and Transit Bus, then show also on People Carrier page (see footer on Homepage for link)</w:t>
      </w:r>
    </w:p>
    <w:p w:rsidR="00000000" w:rsidDel="00000000" w:rsidP="00000000" w:rsidRDefault="00000000" w:rsidRPr="00000000" w14:paraId="00000021">
      <w:pPr>
        <w:tabs>
          <w:tab w:val="left" w:pos="0"/>
        </w:tabs>
        <w:spacing w:after="240" w:line="276" w:lineRule="auto"/>
        <w:rPr/>
      </w:pPr>
      <w:r w:rsidDel="00000000" w:rsidR="00000000" w:rsidRPr="00000000">
        <w:rPr>
          <w:rtl w:val="0"/>
        </w:rPr>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2908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Heading: Completa la configurazione della tua prossima [NAMEPLATE]?</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CTA: Clicca qui</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A">
      <w:pPr>
        <w:tabs>
          <w:tab w:val="left" w:pos="0"/>
        </w:tabs>
        <w:spacing w:after="240" w:line="276" w:lineRule="auto"/>
        <w:rPr>
          <w:vertAlign w:val="superscript"/>
        </w:rPr>
      </w:pPr>
      <w:r w:rsidDel="00000000" w:rsidR="00000000" w:rsidRPr="00000000">
        <w:rPr>
          <w:rtl w:val="0"/>
        </w:rPr>
        <w:t xml:space="preserve">Prezzo in promozione</w:t>
        <w:br w:type="textWrapping"/>
        <w:t xml:space="preserve">€14.550</w:t>
      </w:r>
      <w:r w:rsidDel="00000000" w:rsidR="00000000" w:rsidRPr="00000000">
        <w:rPr>
          <w:vertAlign w:val="superscript"/>
          <w:rtl w:val="0"/>
        </w:rPr>
        <w:t xml:space="preserve">**</w:t>
      </w:r>
    </w:p>
    <w:p w:rsidR="00000000" w:rsidDel="00000000" w:rsidP="00000000" w:rsidRDefault="00000000" w:rsidRPr="00000000" w14:paraId="0000002B">
      <w:pPr>
        <w:tabs>
          <w:tab w:val="left" w:pos="0"/>
        </w:tabs>
        <w:spacing w:after="240" w:line="276" w:lineRule="auto"/>
        <w:rPr>
          <w:vertAlign w:val="superscript"/>
        </w:rPr>
      </w:pPr>
      <w:r w:rsidDel="00000000" w:rsidR="00000000" w:rsidRPr="00000000">
        <w:rPr>
          <w:rtl w:val="0"/>
        </w:rPr>
        <w:t xml:space="preserve">Prezzo di listino</w:t>
        <w:br w:type="textWrapping"/>
        <w:t xml:space="preserve">€19.55</w:t>
      </w:r>
      <w:r w:rsidDel="00000000" w:rsidR="00000000" w:rsidRPr="00000000">
        <w:rPr>
          <w:vertAlign w:val="superscript"/>
          <w:rtl w:val="0"/>
        </w:rPr>
        <w:t xml:space="preserve">1</w:t>
      </w:r>
    </w:p>
    <w:p w:rsidR="00000000" w:rsidDel="00000000" w:rsidP="00000000" w:rsidRDefault="00000000" w:rsidRPr="00000000" w14:paraId="0000002C">
      <w:pPr>
        <w:tabs>
          <w:tab w:val="left" w:pos="0"/>
        </w:tabs>
        <w:spacing w:after="240" w:line="276" w:lineRule="auto"/>
        <w:rPr/>
      </w:pPr>
      <w:r w:rsidDel="00000000" w:rsidR="00000000" w:rsidRPr="00000000">
        <w:rPr>
          <w:u w:val="single"/>
          <w:rtl w:val="0"/>
        </w:rPr>
        <w:t xml:space="preserve">Disclaimer **: </w:t>
      </w:r>
      <w:r w:rsidDel="00000000" w:rsidR="00000000" w:rsidRPr="00000000">
        <w:rPr>
          <w:rFonts w:ascii="Arial" w:cs="Arial" w:eastAsia="Arial" w:hAnsi="Arial"/>
          <w:b w:val="1"/>
          <w:color w:val="4d4d4d"/>
          <w:sz w:val="27"/>
          <w:szCs w:val="27"/>
          <w:highlight w:val="white"/>
          <w:rtl w:val="0"/>
        </w:rPr>
        <w:t xml:space="preserve">Tutte le offerte sono valide fino al 31/03/2021</w:t>
      </w:r>
      <w:r w:rsidDel="00000000" w:rsidR="00000000" w:rsidRPr="00000000">
        <w:rPr>
          <w:rFonts w:ascii="Arial" w:cs="Arial" w:eastAsia="Arial" w:hAnsi="Arial"/>
          <w:color w:val="4d4d4d"/>
          <w:sz w:val="27"/>
          <w:szCs w:val="27"/>
          <w:highlight w:val="white"/>
          <w:rtl w:val="0"/>
        </w:rPr>
        <w:t xml:space="preserve"> solo per vetture in pronta consegna, grazie al contributo dei Ford Partner.  Alcune offerte sono calcolate tenendo conto dello sconto praticato in ragione del contributo statale Ecobonus a fronte di rottamazione di un veicolo immatricolato da oltre 10 anni dalla data di stipula del contratto del nuovo veicolo dell’importo di euro 4.500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21 g/km e 60 g/km (ciclo WLTP) e dell’importo di euro 1.500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61 g/km e 135 g/km (ciclo WLTP). Alcune offerte sono calcolate tenendo conto dello sconto praticato in ragione del contributo statale Ecobonus dell’importo di euro 5.000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0 g/km e 20 g/km (ciclo WLTP). Il contributo statale Ecobonus è previsto dalla legge di bilancio 2021 ed è soggetta alla disponibilità del relativo fondo statale come indicato sul sito </w:t>
      </w:r>
      <w:hyperlink r:id="rId10">
        <w:r w:rsidDel="00000000" w:rsidR="00000000" w:rsidRPr="00000000">
          <w:rPr>
            <w:rFonts w:ascii="Arial" w:cs="Arial" w:eastAsia="Arial" w:hAnsi="Arial"/>
            <w:color w:val="1673a6"/>
            <w:sz w:val="27"/>
            <w:szCs w:val="27"/>
            <w:highlight w:val="white"/>
            <w:rtl w:val="0"/>
          </w:rPr>
          <w:t xml:space="preserve">https://ecobonus.mise.gov.it/</w:t>
        </w:r>
      </w:hyperlink>
      <w:r w:rsidDel="00000000" w:rsidR="00000000" w:rsidRPr="00000000">
        <w:rPr>
          <w:rFonts w:ascii="Arial" w:cs="Arial" w:eastAsia="Arial" w:hAnsi="Arial"/>
          <w:color w:val="4d4d4d"/>
          <w:sz w:val="27"/>
          <w:szCs w:val="27"/>
          <w:highlight w:val="white"/>
          <w:rtl w:val="0"/>
        </w:rPr>
        <w:t xml:space="preserve">. Prezzo in promozione raccomandato da Ford Italia S.p.A. IPT e contributo per lo smaltimento pneumatici esclusi.</w:t>
      </w:r>
      <w:r w:rsidDel="00000000" w:rsidR="00000000" w:rsidRPr="00000000">
        <w:rPr>
          <w:rtl w:val="0"/>
        </w:rPr>
      </w:r>
    </w:p>
    <w:p w:rsidR="00000000" w:rsidDel="00000000" w:rsidP="00000000" w:rsidRDefault="00000000" w:rsidRPr="00000000" w14:paraId="0000002D">
      <w:pPr>
        <w:tabs>
          <w:tab w:val="left" w:pos="0"/>
        </w:tabs>
        <w:spacing w:after="240" w:line="276" w:lineRule="auto"/>
        <w:rPr>
          <w:rFonts w:ascii="Arial" w:cs="Arial" w:eastAsia="Arial" w:hAnsi="Arial"/>
          <w:color w:val="4d4d4d"/>
          <w:sz w:val="27"/>
          <w:szCs w:val="27"/>
          <w:highlight w:val="white"/>
        </w:rPr>
      </w:pPr>
      <w:r w:rsidDel="00000000" w:rsidR="00000000" w:rsidRPr="00000000">
        <w:rPr>
          <w:u w:val="single"/>
          <w:rtl w:val="0"/>
        </w:rPr>
        <w:t xml:space="preserve">Disclaimer 1: </w:t>
      </w:r>
      <w:r w:rsidDel="00000000" w:rsidR="00000000" w:rsidRPr="00000000">
        <w:rPr>
          <w:rFonts w:ascii="Arial" w:cs="Arial" w:eastAsia="Arial" w:hAnsi="Arial"/>
          <w:color w:val="4d4d4d"/>
          <w:sz w:val="27"/>
          <w:szCs w:val="27"/>
          <w:highlight w:val="white"/>
          <w:rtl w:val="0"/>
        </w:rPr>
        <w:t xml:space="preserve">prezzi di listino e i prezzi "Chiavi in mano" sono prezzi raccomandati dalla Ford. Inoltre, i prezzi "Chiavi in mano" praticati possono differire da quanto indicato nel presente listino a causa della "Imposta Provinciale di Trascrizione" (I.P.T.), il cui ammontare e' stabilito dalle Autorita' Provinciali, e dell'imposta di bollo applicata sui certificati di conformità.</w:t>
      </w:r>
    </w:p>
    <w:p w:rsidR="00000000" w:rsidDel="00000000" w:rsidP="00000000" w:rsidRDefault="00000000" w:rsidRPr="00000000" w14:paraId="0000002E">
      <w:pPr>
        <w:tabs>
          <w:tab w:val="left" w:pos="0"/>
        </w:tabs>
        <w:spacing w:after="240" w:line="276" w:lineRule="auto"/>
        <w:rPr>
          <w:rFonts w:ascii="Arial" w:cs="Arial" w:eastAsia="Arial" w:hAnsi="Arial"/>
          <w:color w:val="4d4d4d"/>
          <w:sz w:val="27"/>
          <w:szCs w:val="27"/>
          <w:highlight w:val="white"/>
        </w:rPr>
      </w:pPr>
      <w:r w:rsidDel="00000000" w:rsidR="00000000" w:rsidRPr="00000000">
        <w:rPr>
          <w:rFonts w:ascii="Arial" w:cs="Arial" w:eastAsia="Arial" w:hAnsi="Arial"/>
          <w:color w:val="4d4d4d"/>
          <w:sz w:val="27"/>
          <w:szCs w:val="27"/>
          <w:highlight w:val="white"/>
          <w:rtl w:val="0"/>
        </w:rPr>
        <w:t xml:space="preserve">La messa su strada, comprensiva delle spese di trasporto fino alla sede della Concessionaria, fissate in Eur 247,80 (IVA esclusa) per tutta Italia, è inclusa nella sola voce "Prezzi chiavi in mano", mentre il contributo ambientale, di cui all’art 7, comma 5 del Decreto Ministeriale 11/04/2011 n.82, ne è escluso.</w:t>
      </w:r>
    </w:p>
    <w:p w:rsidR="00000000" w:rsidDel="00000000" w:rsidP="00000000" w:rsidRDefault="00000000" w:rsidRPr="00000000" w14:paraId="0000002F">
      <w:pPr>
        <w:tabs>
          <w:tab w:val="left" w:pos="0"/>
        </w:tabs>
        <w:spacing w:after="240" w:line="276" w:lineRule="auto"/>
        <w:rPr/>
      </w:pPr>
      <w:r w:rsidDel="00000000" w:rsidR="00000000" w:rsidRPr="00000000">
        <w:rPr>
          <w:rFonts w:ascii="Arial" w:cs="Arial" w:eastAsia="Arial" w:hAnsi="Arial"/>
          <w:color w:val="4d4d4d"/>
          <w:sz w:val="27"/>
          <w:szCs w:val="27"/>
          <w:highlight w:val="white"/>
          <w:rtl w:val="0"/>
        </w:rPr>
        <w:t xml:space="preserve">Prezzi ed equipaggiamenti soggetti a cambiamento senza preavviso.</w:t>
      </w:r>
      <w:r w:rsidDel="00000000" w:rsidR="00000000" w:rsidRPr="00000000">
        <w:rPr>
          <w:rtl w:val="0"/>
        </w:rPr>
      </w:r>
    </w:p>
    <w:p w:rsidR="00000000" w:rsidDel="00000000" w:rsidP="00000000" w:rsidRDefault="00000000" w:rsidRPr="00000000" w14:paraId="0000003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2">
      <w:pPr>
        <w:rPr>
          <w:b w:val="1"/>
        </w:rPr>
      </w:pPr>
      <w:hyperlink r:id="rId11">
        <w:r w:rsidDel="00000000" w:rsidR="00000000" w:rsidRPr="00000000">
          <w:rPr>
            <w:color w:val="1155cc"/>
            <w:u w:val="single"/>
            <w:rtl w:val="0"/>
          </w:rPr>
          <w:t xml:space="preserve">https://www.ford.it?at_preview_token=ZtbwCtQEjBBDjh38Tu4hSg&amp;at_preview_index=1_1&amp;at_preview_listed_activities_only=true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it?at_preview_token=ZtbwCtQEjBBDjh38Tu4hSg&amp;at_preview_index=1_1&amp;at_preview_listed_activities_only=true" TargetMode="External"/><Relationship Id="rId10" Type="http://schemas.openxmlformats.org/officeDocument/2006/relationships/hyperlink" Target="https://ecobonus.mise.gov.i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0" TargetMode="External"/><Relationship Id="rId8" Type="http://schemas.openxmlformats.org/officeDocument/2006/relationships/hyperlink" Target="https://www.fo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7AYRoVXbKWj2avtcjeYltK4ldQ==">AMUW2mUcQNfpJh9Z4L7xEbg9MU9qcyivf8IVcVxRspgCXsbvmZAGI21liyW8hw7XQd6yJY3CyYHlqQRoLphS7r+9aYRcESqYHyUZSL1UCR95/kDlAdHLHLSDs3VfKIV8NIs+kgMHYqi8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