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21.13] OT-1231 | XT | CHFR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https://jira.uhub.biz/browse/GTBEMEAOPT-1231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https://www.fr.ford.ch/</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8">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9">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A">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“Configurateur”.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0">
      <w:pPr>
        <w:numPr>
          <w:ilvl w:val="0"/>
          <w:numId w:val="1"/>
        </w:numPr>
        <w:tabs>
          <w:tab w:val="left" w:pos="0"/>
        </w:tabs>
        <w:spacing w:line="276" w:lineRule="auto"/>
        <w:ind w:left="720" w:hanging="360"/>
        <w:rPr>
          <w:u w:val="none"/>
        </w:rPr>
      </w:pPr>
      <w:r w:rsidDel="00000000" w:rsidR="00000000" w:rsidRPr="00000000">
        <w:rPr>
          <w:rtl w:val="0"/>
        </w:rPr>
        <w:t xml:space="preserve">Homepage</w:t>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A">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p>
    <w:p w:rsidR="00000000" w:rsidDel="00000000" w:rsidP="00000000" w:rsidRDefault="00000000" w:rsidRPr="00000000" w14:paraId="0000001B">
      <w:pPr>
        <w:numPr>
          <w:ilvl w:val="0"/>
          <w:numId w:val="1"/>
        </w:numPr>
        <w:tabs>
          <w:tab w:val="left" w:pos="0"/>
        </w:tabs>
        <w:spacing w:line="276" w:lineRule="auto"/>
        <w:ind w:left="720" w:hanging="360"/>
        <w:rPr>
          <w:u w:val="none"/>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C">
      <w:pPr>
        <w:numPr>
          <w:ilvl w:val="0"/>
          <w:numId w:val="1"/>
        </w:numPr>
        <w:tabs>
          <w:tab w:val="left" w:pos="0"/>
        </w:tabs>
        <w:spacing w:line="276" w:lineRule="auto"/>
        <w:ind w:left="720" w:hanging="360"/>
        <w:rPr>
          <w:u w:val="none"/>
        </w:rPr>
      </w:pPr>
      <w:r w:rsidDel="00000000" w:rsidR="00000000" w:rsidRPr="00000000">
        <w:rPr>
          <w:rtl w:val="0"/>
        </w:rPr>
        <w:t xml:space="preserve">If vehicle is Fiesta, Ecosport or Puma, then show also on Small Vehicle page (see footer on Homepage for link)</w:t>
      </w:r>
    </w:p>
    <w:p w:rsidR="00000000" w:rsidDel="00000000" w:rsidP="00000000" w:rsidRDefault="00000000" w:rsidRPr="00000000" w14:paraId="0000001D">
      <w:pPr>
        <w:tabs>
          <w:tab w:val="left" w:pos="0"/>
        </w:tabs>
        <w:spacing w:line="276" w:lineRule="auto"/>
        <w:ind w:left="720" w:firstLine="0"/>
        <w:rPr/>
      </w:pP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20">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3111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Heading: Vous n’avez pas réussi à terminer la configuration du modèle [NAMEPLATE] de vos rêves?</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CTA: Terminer la configuration maintenant</w:t>
      </w:r>
    </w:p>
    <w:p w:rsidR="00000000" w:rsidDel="00000000" w:rsidP="00000000" w:rsidRDefault="00000000" w:rsidRPr="00000000" w14:paraId="00000026">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7">
      <w:pPr>
        <w:tabs>
          <w:tab w:val="left" w:pos="0"/>
        </w:tabs>
        <w:spacing w:after="240" w:line="276" w:lineRule="auto"/>
        <w:rPr>
          <w:vertAlign w:val="superscript"/>
        </w:rPr>
      </w:pPr>
      <w:r w:rsidDel="00000000" w:rsidR="00000000" w:rsidRPr="00000000">
        <w:rPr>
          <w:rtl w:val="0"/>
        </w:rPr>
        <w:t xml:space="preserve">PRIX D’ACTION</w:t>
        <w:br w:type="textWrapping"/>
        <w:t xml:space="preserve">Fr. 14'550</w:t>
      </w:r>
      <w:r w:rsidDel="00000000" w:rsidR="00000000" w:rsidRPr="00000000">
        <w:rPr>
          <w:vertAlign w:val="superscript"/>
          <w:rtl w:val="0"/>
        </w:rPr>
        <w:t xml:space="preserve">3</w:t>
      </w:r>
    </w:p>
    <w:p w:rsidR="00000000" w:rsidDel="00000000" w:rsidP="00000000" w:rsidRDefault="00000000" w:rsidRPr="00000000" w14:paraId="00000028">
      <w:pPr>
        <w:tabs>
          <w:tab w:val="left" w:pos="0"/>
        </w:tabs>
        <w:spacing w:after="240" w:line="276" w:lineRule="auto"/>
        <w:rPr/>
      </w:pPr>
      <w:r w:rsidDel="00000000" w:rsidR="00000000" w:rsidRPr="00000000">
        <w:rPr>
          <w:rtl w:val="0"/>
        </w:rPr>
        <w:t xml:space="preserve">PRIX CATALOGUE</w:t>
        <w:br w:type="textWrapping"/>
        <w:t xml:space="preserve">Fr. 17'500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Disclaimer on 2 pulled dynamically from BP Journey.</w:t>
      </w:r>
    </w:p>
    <w:p w:rsidR="00000000" w:rsidDel="00000000" w:rsidP="00000000" w:rsidRDefault="00000000" w:rsidRPr="00000000" w14:paraId="0000002A">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2C">
      <w:pPr>
        <w:rPr/>
      </w:pPr>
      <w:hyperlink r:id="rId10">
        <w:r w:rsidDel="00000000" w:rsidR="00000000" w:rsidRPr="00000000">
          <w:rPr>
            <w:color w:val="1155cc"/>
            <w:u w:val="single"/>
            <w:rtl w:val="0"/>
          </w:rPr>
          <w:t xml:space="preserve">https://www.fr.ford.ch/?at_preview_token=NVrsgjYPE970V6GBOYROhg&amp;at_preview_index=1_1&amp;at_preview_listed_activities_only=true</w:t>
        </w:r>
      </w:hyperlink>
      <w:r w:rsidDel="00000000" w:rsidR="00000000" w:rsidRPr="00000000">
        <w:rPr>
          <w:rtl w:val="0"/>
        </w:rPr>
        <w:t xml:space="preserve"> </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r.ford.ch/?at_preview_token=NVrsgjYPE970V6GBOYROhg&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31" TargetMode="External"/><Relationship Id="rId8" Type="http://schemas.openxmlformats.org/officeDocument/2006/relationships/hyperlink" Target="https://www.fr.ford.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gHeq9WZgcDHQK2fbuvS1Ht8cw==">AMUW2mXlEY52DOxx00Y1/3v1yQbNsC1pxRvukhywCeHfKfahjTZiY5MYXR0aoWTOS9w1Z8JbMCrg+YB6XbXbZAoSGwXdfDwwnMQLkcM++fxOWONB+K/V5rWNVOWgHU4PKftewqcX8CzH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