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21.15] OT-1245 | XT | FR | BP | BP Summary S2D Popup (Fiesta)</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Fiesta NGC Summary Page (any configuration)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D">
      <w:pPr>
        <w:tabs>
          <w:tab w:val="left" w:pos="0"/>
        </w:tabs>
        <w:spacing w:after="240" w:line="276" w:lineRule="auto"/>
        <w:rPr/>
      </w:pPr>
      <w:r w:rsidDel="00000000" w:rsidR="00000000" w:rsidRPr="00000000">
        <w:rPr>
          <w:rtl w:val="0"/>
        </w:rPr>
        <w:br w:type="textWrapping"/>
        <w:t xml:space="preserve">View the QA Link. In the top right corner click on “Configurateur”. Once loaded, mouse over the “Fiesta” and click on the “Configurer” button that appears. You are now in the NGC build and price journey, make your way through the journey selecting any options. Once you’ve hit the Summary page, see screenshots. Wait 10 seconds and a popup will appear.</w:t>
        <w:br w:type="textWrapping"/>
        <w:br w:type="textWrapping"/>
        <w:t xml:space="preserve">The pop up contains a Send To Dealer CTA – “Envoyez à ma concession”</w:t>
        <w:br w:type="textWrapping"/>
        <w:t xml:space="preserve">Which redirects you to the </w:t>
      </w:r>
      <w:r w:rsidDel="00000000" w:rsidR="00000000" w:rsidRPr="00000000">
        <w:rPr>
          <w:b w:val="1"/>
          <w:rtl w:val="0"/>
        </w:rPr>
        <w:t xml:space="preserve">Send To Dealer</w:t>
      </w:r>
      <w:r w:rsidDel="00000000" w:rsidR="00000000" w:rsidRPr="00000000">
        <w:rPr>
          <w:rtl w:val="0"/>
        </w:rPr>
        <w:t xml:space="preserve"> form for the vehicle you have just configured. </w:t>
        <w:br w:type="textWrapping"/>
        <w:br w:type="textWrapping"/>
        <w:t xml:space="preserve">The Popup can only appear once every 15 minutes, up to a maximum of 3 times.</w:t>
        <w:br w:type="textWrapping"/>
        <w:t xml:space="preserve">The Popup can only appear on the Summary page of the Kuga.</w:t>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content:</w:t>
      </w:r>
    </w:p>
    <w:p w:rsidR="00000000" w:rsidDel="00000000" w:rsidP="00000000" w:rsidRDefault="00000000" w:rsidRPr="00000000" w14:paraId="00000010">
      <w:pPr>
        <w:numPr>
          <w:ilvl w:val="0"/>
          <w:numId w:val="1"/>
        </w:numPr>
        <w:tabs>
          <w:tab w:val="left" w:pos="0"/>
        </w:tabs>
        <w:spacing w:after="0" w:afterAutospacing="0" w:before="240" w:line="276" w:lineRule="auto"/>
        <w:ind w:left="720" w:hanging="360"/>
      </w:pPr>
      <w:r w:rsidDel="00000000" w:rsidR="00000000" w:rsidRPr="00000000">
        <w:rPr>
          <w:b w:val="1"/>
          <w:rtl w:val="0"/>
        </w:rPr>
        <w:t xml:space="preserve">H1:</w:t>
      </w:r>
      <w:r w:rsidDel="00000000" w:rsidR="00000000" w:rsidRPr="00000000">
        <w:rPr>
          <w:rtl w:val="0"/>
        </w:rPr>
        <w:t xml:space="preserve"> 350 € DE REMISE SUPPLÉMENTAIRE SUR L’ACHAT D’UNE FORD FIESTA</w:t>
      </w:r>
    </w:p>
    <w:p w:rsidR="00000000" w:rsidDel="00000000" w:rsidP="00000000" w:rsidRDefault="00000000" w:rsidRPr="00000000" w14:paraId="00000011">
      <w:pPr>
        <w:numPr>
          <w:ilvl w:val="0"/>
          <w:numId w:val="1"/>
        </w:numPr>
        <w:tabs>
          <w:tab w:val="left" w:pos="0"/>
        </w:tabs>
        <w:spacing w:after="0" w:afterAutospacing="0" w:before="0" w:beforeAutospacing="0" w:line="276" w:lineRule="auto"/>
        <w:ind w:left="720" w:hanging="360"/>
      </w:pPr>
      <w:r w:rsidDel="00000000" w:rsidR="00000000" w:rsidRPr="00000000">
        <w:rPr>
          <w:b w:val="1"/>
          <w:rtl w:val="0"/>
        </w:rPr>
        <w:t xml:space="preserve">H2 :</w:t>
      </w:r>
      <w:r w:rsidDel="00000000" w:rsidR="00000000" w:rsidRPr="00000000">
        <w:rPr>
          <w:rtl w:val="0"/>
        </w:rPr>
        <w:t xml:space="preserve"> Envoyez dès maintenant votre configuration de Ford Fiesta à votre concessionnaire et recevez 350 € de remise supplémentaire sur les versions éligibles*.</w:t>
      </w:r>
    </w:p>
    <w:p w:rsidR="00000000" w:rsidDel="00000000" w:rsidP="00000000" w:rsidRDefault="00000000" w:rsidRPr="00000000" w14:paraId="00000012">
      <w:pPr>
        <w:numPr>
          <w:ilvl w:val="0"/>
          <w:numId w:val="1"/>
        </w:numPr>
        <w:tabs>
          <w:tab w:val="left" w:pos="0"/>
        </w:tabs>
        <w:spacing w:after="0" w:afterAutospacing="0" w:before="0" w:beforeAutospacing="0" w:line="276" w:lineRule="auto"/>
        <w:ind w:left="720" w:hanging="360"/>
      </w:pPr>
      <w:r w:rsidDel="00000000" w:rsidR="00000000" w:rsidRPr="00000000">
        <w:rPr>
          <w:b w:val="1"/>
          <w:rtl w:val="0"/>
        </w:rPr>
        <w:t xml:space="preserve">Disclaimer mechanism:</w:t>
      </w:r>
      <w:r w:rsidDel="00000000" w:rsidR="00000000" w:rsidRPr="00000000">
        <w:rPr>
          <w:rtl w:val="0"/>
        </w:rPr>
        <w:t xml:space="preserve"> Popin triggered by click on asterisk</w:t>
      </w:r>
    </w:p>
    <w:p w:rsidR="00000000" w:rsidDel="00000000" w:rsidP="00000000" w:rsidRDefault="00000000" w:rsidRPr="00000000" w14:paraId="00000013">
      <w:pPr>
        <w:numPr>
          <w:ilvl w:val="0"/>
          <w:numId w:val="1"/>
        </w:numPr>
        <w:tabs>
          <w:tab w:val="left" w:pos="0"/>
        </w:tabs>
        <w:spacing w:after="0" w:afterAutospacing="0" w:before="0" w:beforeAutospacing="0" w:line="276" w:lineRule="auto"/>
        <w:ind w:left="720" w:hanging="360"/>
      </w:pPr>
      <w:r w:rsidDel="00000000" w:rsidR="00000000" w:rsidRPr="00000000">
        <w:rPr>
          <w:b w:val="1"/>
          <w:rtl w:val="0"/>
        </w:rPr>
        <w:t xml:space="preserve">Disclaimer copy:</w:t>
      </w:r>
      <w:r w:rsidDel="00000000" w:rsidR="00000000" w:rsidRPr="00000000">
        <w:rPr>
          <w:rtl w:val="0"/>
        </w:rPr>
        <w:t xml:space="preserve"> *350 € de remise sur le prix maximum valable pour toute commande d’une Ford Fiesta neuve, disponible sur stock, sur toutes les finitions sauf ST, ST Pack et ST Plus jusqu’au 30/04/2021.</w:t>
        <w:br w:type="textWrapping"/>
        <w:t xml:space="preserve"> Offre cumulable avec les offres en cours, réservée aux particuliers dans le réseau Ford participant sur présentation de l’e-mail reçu.</w:t>
      </w:r>
    </w:p>
    <w:p w:rsidR="00000000" w:rsidDel="00000000" w:rsidP="00000000" w:rsidRDefault="00000000" w:rsidRPr="00000000" w14:paraId="00000014">
      <w:pPr>
        <w:numPr>
          <w:ilvl w:val="0"/>
          <w:numId w:val="1"/>
        </w:numPr>
        <w:tabs>
          <w:tab w:val="left" w:pos="0"/>
        </w:tabs>
        <w:spacing w:after="240" w:before="0" w:beforeAutospacing="0" w:line="276" w:lineRule="auto"/>
        <w:ind w:left="720" w:hanging="360"/>
      </w:pPr>
      <w:r w:rsidDel="00000000" w:rsidR="00000000" w:rsidRPr="00000000">
        <w:rPr>
          <w:b w:val="1"/>
          <w:rtl w:val="0"/>
        </w:rPr>
        <w:t xml:space="preserve">CTA:</w:t>
      </w:r>
      <w:r w:rsidDel="00000000" w:rsidR="00000000" w:rsidRPr="00000000">
        <w:rPr>
          <w:rtl w:val="0"/>
        </w:rPr>
        <w:t xml:space="preserve"> Envoyez à ma concession</w:t>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br w:type="textWrapping"/>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16">
      <w:pPr>
        <w:spacing w:line="276" w:lineRule="auto"/>
        <w:rPr>
          <w:b w:val="1"/>
          <w:color w:val="000000"/>
          <w:u w:val="singl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18">
      <w:pPr>
        <w:spacing w:line="276" w:lineRule="auto"/>
        <w:rPr>
          <w:rFonts w:ascii="Roboto" w:cs="Roboto" w:eastAsia="Roboto" w:hAnsi="Roboto"/>
          <w:color w:val="172b4d"/>
          <w:sz w:val="21"/>
          <w:szCs w:val="21"/>
        </w:rPr>
      </w:pPr>
      <w:hyperlink r:id="rId9">
        <w:r w:rsidDel="00000000" w:rsidR="00000000" w:rsidRPr="00000000">
          <w:rPr>
            <w:rFonts w:ascii="Roboto" w:cs="Roboto" w:eastAsia="Roboto" w:hAnsi="Roboto"/>
            <w:color w:val="1155cc"/>
            <w:sz w:val="21"/>
            <w:szCs w:val="21"/>
            <w:u w:val="single"/>
            <w:rtl w:val="0"/>
          </w:rPr>
          <w:t xml:space="preserve">https://www.ford.fr?at_preview_token=5-L0YG98-4YV9urRUnS-MA&amp;at_preview_index=1_1&amp;at_preview_listed_activities_only=true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19">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1A">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w:t>
      </w:r>
      <w:r w:rsidDel="00000000" w:rsidR="00000000" w:rsidRPr="00000000">
        <w:rPr>
          <w:rFonts w:ascii="AppleSystemUIFont" w:cs="AppleSystemUIFont" w:eastAsia="AppleSystemUIFont" w:hAnsi="AppleSystemUIFont"/>
          <w:b w:val="1"/>
        </w:rPr>
        <w:drawing>
          <wp:inline distB="114300" distT="114300" distL="114300" distR="114300">
            <wp:extent cx="5381625" cy="44958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1625" cy="4495800"/>
                    </a:xfrm>
                    <a:prstGeom prst="rect"/>
                    <a:ln/>
                  </pic:spPr>
                </pic:pic>
              </a:graphicData>
            </a:graphic>
          </wp:inline>
        </w:drawing>
      </w:r>
      <w:r w:rsidDel="00000000" w:rsidR="00000000" w:rsidRPr="00000000">
        <w:rPr>
          <w:rFonts w:ascii="AppleSystemUIFont" w:cs="AppleSystemUIFont" w:eastAsia="AppleSystemUIFont" w:hAnsi="AppleSystemUIFont"/>
          <w:b w:val="1"/>
          <w:rtl w:val="0"/>
        </w:rPr>
        <w:br w:type="textWrapping"/>
        <w:t xml:space="preserve">Disclaimer:</w:t>
      </w:r>
      <w:r w:rsidDel="00000000" w:rsidR="00000000" w:rsidRPr="00000000">
        <w:rPr>
          <w:rFonts w:ascii="AppleSystemUIFont" w:cs="AppleSystemUIFont" w:eastAsia="AppleSystemUIFont" w:hAnsi="AppleSystemUIFont"/>
          <w:b w:val="1"/>
        </w:rPr>
        <w:drawing>
          <wp:inline distB="114300" distT="114300" distL="114300" distR="114300">
            <wp:extent cx="5731200" cy="3581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ford.fr?at_preview_token=5-L0YG98-4YV9urRUnS-MA&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45" TargetMode="External"/><Relationship Id="rId8" Type="http://schemas.openxmlformats.org/officeDocument/2006/relationships/hyperlink" Target="https://www.ford.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6nmzikujNtx19kugr9kWL/XAg==">AMUW2mU7XZw6btFRog+UAd43nZK6Ph9E0VPhuAfXKQNF/IAeWrZnwo/JFx/wohVJmIUNrMaIwipgywO7I9Y2yJXJbJKjc0NSIh2OZpiA+lUozyqEsvOwssM=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