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 [LIVE 20.38] OT-948 | XT | DE | AS | 3.0 Popin - NGC BP-A </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https://jira.uhub.biz/browse/GTBEMEAOPT-1253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pos="0"/>
        </w:tabs>
        <w:spacing w:after="240" w:lineRule="auto"/>
        <w:rPr>
          <w:b w:val="1"/>
        </w:rPr>
      </w:pPr>
      <w:r w:rsidDel="00000000" w:rsidR="00000000" w:rsidRPr="00000000">
        <w:rPr>
          <w:b w:val="1"/>
          <w:u w:val="single"/>
          <w:rtl w:val="0"/>
        </w:rPr>
        <w:t xml:space="preserve">Test Description</w:t>
      </w:r>
      <w:r w:rsidDel="00000000" w:rsidR="00000000" w:rsidRPr="00000000">
        <w:rPr>
          <w:rtl w:val="0"/>
        </w:rPr>
      </w:r>
    </w:p>
    <w:p w:rsidR="00000000" w:rsidDel="00000000" w:rsidP="00000000" w:rsidRDefault="00000000" w:rsidRPr="00000000" w14:paraId="00000007">
      <w:pPr>
        <w:tabs>
          <w:tab w:val="left" w:pos="0"/>
        </w:tabs>
        <w:spacing w:after="240" w:line="276" w:lineRule="auto"/>
        <w:rPr/>
      </w:pPr>
      <w:r w:rsidDel="00000000" w:rsidR="00000000" w:rsidRPr="00000000">
        <w:rPr>
          <w:rtl w:val="0"/>
        </w:rPr>
        <w:t xml:space="preserve">Note: Do not use Incognito or private mode.</w:t>
      </w:r>
    </w:p>
    <w:p w:rsidR="00000000" w:rsidDel="00000000" w:rsidP="00000000" w:rsidRDefault="00000000" w:rsidRPr="00000000" w14:paraId="00000008">
      <w:pPr>
        <w:tabs>
          <w:tab w:val="left" w:pos="0"/>
        </w:tabs>
        <w:spacing w:after="240" w:line="276" w:lineRule="auto"/>
        <w:rPr/>
      </w:pPr>
      <w:r w:rsidDel="00000000" w:rsidR="00000000" w:rsidRPr="00000000">
        <w:rPr>
          <w:rtl w:val="0"/>
        </w:rPr>
        <w:br w:type="textWrapping"/>
        <w:t xml:space="preserve">View the QA Link. In the top right corner click on “Konfigurator”. Once loaded, select any NGC vehicle. You are now in the NGC build and price journey, make your way through the journey selecting any options but abandon before you hit the summary page. Go to the home page. Wait about 10 seconds, and you’ll see a popin (see screenshot).</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rtl w:val="0"/>
        </w:rPr>
        <w:t xml:space="preserve">If the popin appears and looks something like the screenshot, this works. </w:t>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w:t>
      </w:r>
      <w:r w:rsidDel="00000000" w:rsidR="00000000" w:rsidRPr="00000000">
        <w:rPr>
          <w:rtl w:val="0"/>
        </w:rPr>
      </w:r>
    </w:p>
    <w:p w:rsidR="00000000" w:rsidDel="00000000" w:rsidP="00000000" w:rsidRDefault="00000000" w:rsidRPr="00000000" w14:paraId="0000000A">
      <w:pPr>
        <w:spacing w:line="276" w:lineRule="auto"/>
        <w:rPr>
          <w:b w:val="1"/>
          <w:color w:val="000000"/>
          <w:u w:val="single"/>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color w:val="000000"/>
          <w:u w:val="single"/>
          <w:rtl w:val="0"/>
        </w:rPr>
        <w:t xml:space="preserve">QA Links:</w:t>
      </w:r>
      <w:r w:rsidDel="00000000" w:rsidR="00000000" w:rsidRPr="00000000">
        <w:rPr>
          <w:rFonts w:ascii="Roboto" w:cs="Roboto" w:eastAsia="Roboto" w:hAnsi="Roboto"/>
          <w:b w:val="1"/>
          <w:color w:val="172b4d"/>
          <w:sz w:val="21"/>
          <w:szCs w:val="21"/>
          <w:rtl w:val="0"/>
        </w:rPr>
        <w:t xml:space="preserve"> </w:t>
      </w: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color w:val="172b4d"/>
          <w:sz w:val="21"/>
          <w:szCs w:val="21"/>
        </w:rPr>
      </w:pPr>
      <w:hyperlink r:id="rId8">
        <w:r w:rsidDel="00000000" w:rsidR="00000000" w:rsidRPr="00000000">
          <w:rPr>
            <w:rFonts w:ascii="Roboto" w:cs="Roboto" w:eastAsia="Roboto" w:hAnsi="Roboto"/>
            <w:color w:val="1155cc"/>
            <w:sz w:val="21"/>
            <w:szCs w:val="21"/>
            <w:u w:val="single"/>
            <w:rtl w:val="0"/>
          </w:rPr>
          <w:t xml:space="preserve">https://www.ford.de/?at_preview_token=NsyFRJ9iNHcTEFIvzF9GAw&amp;at_preview_index=1_1&amp;at_preview_listed_activities_only=true</w:t>
        </w:r>
      </w:hyperlink>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D">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br w:type="textWrapping"/>
      </w:r>
    </w:p>
    <w:p w:rsidR="00000000" w:rsidDel="00000000" w:rsidP="00000000" w:rsidRDefault="00000000" w:rsidRPr="00000000" w14:paraId="0000000E">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t xml:space="preserve">Popup: </w:t>
      </w:r>
      <w:r w:rsidDel="00000000" w:rsidR="00000000" w:rsidRPr="00000000">
        <w:rPr>
          <w:rFonts w:ascii="AppleSystemUIFont" w:cs="AppleSystemUIFont" w:eastAsia="AppleSystemUIFont" w:hAnsi="AppleSystemUIFont"/>
          <w:b w:val="1"/>
        </w:rPr>
        <w:drawing>
          <wp:inline distB="114300" distT="114300" distL="114300" distR="114300">
            <wp:extent cx="5731200" cy="35433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link w:val="Heading4Char"/>
    <w:uiPriority w:val="9"/>
    <w:semiHidden w:val="1"/>
    <w:unhideWhenUsed w:val="1"/>
    <w:qFormat w:val="1"/>
    <w:rsid w:val="00D01783"/>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53" TargetMode="External"/><Relationship Id="rId8" Type="http://schemas.openxmlformats.org/officeDocument/2006/relationships/hyperlink" Target="https://www.ford.de/?at_preview_token=NsyFRJ9iNHcTEFIvzF9GAw&amp;at_preview_index=1_1&amp;at_preview_listed_activities_only=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QJjNk7DEWb04cyClSh1Q9/NRg==">AMUW2mXJTqoFhauURaPJLkriIdnjTe+acDZJII2PdwhVNytdIGgOU1JBnyJyJbN53Vk1/reGr6PjtzUoySbx2Z4KAoqRw6iVApVXxWD5ouSah39hC2DKVtc=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2021-03-31T15:57:00Z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