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20.38] OT-948 | XT | DE | AS | 3.0 Popin - NGC BP-A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https://jira.uhub.biz/browse/GTBEMEAOPT-1270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Across ford.de - apart from E-comm configurator, E-comm Pre-order Journey, 1.0 Configurator and TDR, any page related to Owners / Services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8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View the QA Link. Start the NGC Journey for any vehicle and abandon it before hitting the Summary page. Go to the home page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https://www.ford.de/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b w:val="1"/>
          <w:rtl w:val="0"/>
        </w:rPr>
        <w:t xml:space="preserve">The Popup (Image 1.3):</w:t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https://www.ford.de/?at_preview_token=NsyFRJ9iNHcTEFIvzF9GAw&amp;at_preview_index=1_1&amp;at_preview_listed_activities_only=true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ord.de/?at_preview_token=NsyFRJ9iNHcTEFIvzF9GAw&amp;at_preview_index=1_1&amp;at_preview_listed_activities_only=true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ford.d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1270" TargetMode="External"/><Relationship Id="rId8" Type="http://schemas.openxmlformats.org/officeDocument/2006/relationships/hyperlink" Target="https://www.ford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gECV7sg2+mt8ckt+s/gj4Vq6A==">AMUW2mVTiwLKeg4XMno4bKjYT4cXdVJKZmbvo8r0njMcFI9/dgBuiDyH6gMc3CrgW/k8nsNxYgPS1x3IZ7QNA89AcNp8iBkhvRjXzJLV73N+V+wVWY0/cX4va2VwgN14rW9RhQlEhQbq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