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[LIVE 20.08] OT-784 | AB | UK | NPP | Pre-order vs BP Nomenclature – 17 April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https://jira.uhub.biz/browse/GTBEMEAOPT-784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https://www.ford.co.uk/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https://www.ford.co.uk/cars/mustang-mach-e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Tags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CONTROL - tt:nwp:opt-784:ab:vhp:bp-nomenclature:control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CHALLENGER B - tt:nwp:opt-784:ab:vhp:bp-nomenclature:varb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CHALLENGER C - tt:nwp:opt-784:ab:vhp:bp-nomenclature:varc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Pre-ordering a vehicle is a big commitment. Previous personalisations on TDR journey show that some audiences might be too new to be ready for purchase / TDR. For these users,  words like “Configure” might resonate better. Testing the impact of introducing the pre-order journey as “Pre-order now” vs “Configure now” will enable us to understand which of the two will increase BP-S but also BP-C.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Test Description</w:t>
      </w:r>
      <w:r w:rsidDel="00000000" w:rsidR="00000000" w:rsidRPr="00000000">
        <w:rPr>
          <w:rtl w:val="0"/>
        </w:rPr>
        <w:br w:type="textWrapping"/>
        <w:t xml:space="preserve">View the CHALLENGER B LINK. In the top right next to “Keep Me Informed” button it should have a “Configure” button instead of a “Pre-Order” button. Next just below that is a video playing of the vehicle. In the bottom of the video in the centre there’s a section containing information and another button, a blue one. This should say “Configure Now” instead of “Pre-Order Now”.</w:t>
        <w:br w:type="textWrapping"/>
        <w:t xml:space="preserve">This is the only change; the links still go to the same place when clicked.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bookmarkStart w:colFirst="0" w:colLast="0" w:name="_heading=h.4tqbfkkpqyr9" w:id="1"/>
      <w:bookmarkEnd w:id="1"/>
      <w:r w:rsidDel="00000000" w:rsidR="00000000" w:rsidRPr="00000000">
        <w:rPr>
          <w:rtl w:val="0"/>
        </w:rPr>
        <w:t xml:space="preserve">View the CHALLENGER C LINK. It’s exactly the same as the above, but it’s been renamed to “Reserve” and “Reserve Now”</w:t>
        <w:br w:type="textWrapping"/>
        <w:br w:type="textWrapping"/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40" w:line="276" w:lineRule="auto"/>
        <w:rPr>
          <w:b w:val="1"/>
          <w:u w:val="single"/>
        </w:rPr>
      </w:pPr>
      <w:bookmarkStart w:colFirst="0" w:colLast="0" w:name="_heading=h.nxsjp5en2g0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240" w:line="276" w:lineRule="auto"/>
        <w:rPr>
          <w:b w:val="1"/>
          <w:u w:val="single"/>
        </w:rPr>
      </w:pPr>
      <w:bookmarkStart w:colFirst="0" w:colLast="0" w:name="_heading=h.g715sfmngw1l" w:id="3"/>
      <w:bookmarkEnd w:id="3"/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https://www.ford.co.uk/cars/mustang-mach-e?at_preview_token=WCblFMLXcf8hwdF4zlobJQ%3D%3D&amp;at_preview_index=1_1&amp;at_preview_listed_activities_only=true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CHALLENGER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https://www.ford.co.uk/cars/mustang-mach-e?at_preview_token=WCblFMLXcf8hwdF4zlobJQ%3D%3D&amp;at_preview_index=1_2&amp;at_preview_listed_activities_only=true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CHALLENGER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https://www.ford.co.uk/cars/mustang-mach-e?at_preview_token=WCblFMLXcf8hwdF4zlobJQ%3D%3D&amp;at_preview_index=1_3&amp;at_preview_listed_activities_only=true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ord.co.uk/cars/mustang-mach-e?at_preview_token=WCblFMLXcf8hwdF4zlobJQ%3D%3D&amp;at_preview_index=1_2&amp;at_preview_listed_activities_only=true" TargetMode="External"/><Relationship Id="rId10" Type="http://schemas.openxmlformats.org/officeDocument/2006/relationships/hyperlink" Target="https://www.ford.co.uk/cars/mustang-mach-e?at_preview_token=WCblFMLXcf8hwdF4zlobJQ%3D%3D&amp;at_preview_index=1_1&amp;at_preview_listed_activities_only=true" TargetMode="External"/><Relationship Id="rId12" Type="http://schemas.openxmlformats.org/officeDocument/2006/relationships/hyperlink" Target="https://www.ford.co.uk/cars/mustang-mach-e?at_preview_token=WCblFMLXcf8hwdF4zlobJQ%3D%3D&amp;at_preview_index=1_3&amp;at_preview_listed_activities_only=true" TargetMode="External"/><Relationship Id="rId9" Type="http://schemas.openxmlformats.org/officeDocument/2006/relationships/hyperlink" Target="https://www.ford.co.uk/cars/mustang-mach-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784" TargetMode="External"/><Relationship Id="rId8" Type="http://schemas.openxmlformats.org/officeDocument/2006/relationships/hyperlink" Target="https://www.for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2AFe/5PiCQtT0wbvEbLUKPe21w==">AMUW2mU65QxHsBPlBEvr+cDg/uV9bxUbusyUONWYyTfA7ibY7Yq6uDJzhEQZfL5hu5wIsgdw8sP9hbC9rC+wFQOorTphWPVegrE41DhLoVCfriqO3uGJtCsm2R8eduYFq470SAaPuPT0YD4CRJdLNbkaLFEbr5XFqjC15pY6kULDbJ6yEu1bSHkV2XNYL9b9usCLeXYHGBVx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2020-01-20T12:50:00Z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