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E291EC2" w:rsidP="7E291EC2" w:rsidRDefault="7E291EC2" w14:paraId="4350EA58" w14:textId="72CC4906">
      <w:pPr>
        <w:spacing w:line="276" w:lineRule="auto"/>
      </w:pPr>
      <w:r w:rsidRPr="7E291EC2">
        <w:rPr>
          <w:sz w:val="48"/>
          <w:szCs w:val="48"/>
          <w:lang w:val="en-US"/>
        </w:rPr>
        <w:t>GTB</w:t>
      </w:r>
      <w:r>
        <w:br/>
      </w:r>
      <w:r>
        <w:br/>
      </w:r>
      <w:r w:rsidRPr="7E291EC2">
        <w:rPr>
          <w:b/>
          <w:bCs/>
          <w:sz w:val="36"/>
          <w:szCs w:val="36"/>
          <w:lang w:val="en-US"/>
        </w:rPr>
        <w:t>QA</w:t>
      </w:r>
      <w:r>
        <w:br/>
      </w:r>
      <w:r w:rsidRPr="001B6AD8" w:rsidR="001B6AD8">
        <w:t xml:space="preserve">[DEV 20.12] OT-834 | AB | UK | </w:t>
      </w:r>
      <w:proofErr w:type="spellStart"/>
      <w:r w:rsidRPr="001B6AD8" w:rsidR="001B6AD8">
        <w:t>eBP</w:t>
      </w:r>
      <w:proofErr w:type="spellEnd"/>
      <w:r w:rsidRPr="001B6AD8" w:rsidR="001B6AD8">
        <w:t xml:space="preserve"> | Video Billboard</w:t>
      </w:r>
      <w:r w:rsidR="001B6AD8">
        <w:t xml:space="preserve"> </w:t>
      </w:r>
      <w:r w:rsidR="00533E3A">
        <w:t>–</w:t>
      </w:r>
      <w:r w:rsidR="00AC2379">
        <w:t xml:space="preserve"> </w:t>
      </w:r>
      <w:r w:rsidR="001B6AD8">
        <w:t>26</w:t>
      </w:r>
      <w:r w:rsidR="00AC2379">
        <w:t xml:space="preserve"> </w:t>
      </w:r>
      <w:r w:rsidR="001B6AD8">
        <w:t>March</w:t>
      </w:r>
      <w:r w:rsidR="00AC2379">
        <w:t xml:space="preserve"> 2020</w:t>
      </w:r>
    </w:p>
    <w:p w:rsidR="005F5FBA" w:rsidRDefault="005F5FBA" w14:paraId="672A6659" w14:textId="77777777">
      <w:pPr>
        <w:spacing w:line="276" w:lineRule="auto"/>
        <w:rPr>
          <w:sz w:val="32"/>
          <w:szCs w:val="32"/>
          <w:lang w:val="en-US"/>
        </w:rPr>
      </w:pPr>
    </w:p>
    <w:p w:rsidR="7E291EC2" w:rsidP="7E291EC2" w:rsidRDefault="7E291EC2" w14:paraId="1BEB0D0B" w14:textId="7E182F45">
      <w:pPr>
        <w:spacing w:line="276" w:lineRule="auto"/>
      </w:pPr>
      <w:r w:rsidRPr="7E291EC2">
        <w:rPr>
          <w:b/>
          <w:bCs/>
          <w:u w:val="single"/>
          <w:lang w:val="en-US"/>
        </w:rPr>
        <w:t>Jira ticket:</w:t>
      </w:r>
      <w:r>
        <w:br/>
      </w:r>
      <w:hyperlink w:history="1" r:id="rId5">
        <w:r w:rsidR="001B6AD8">
          <w:rPr>
            <w:rStyle w:val="Hyperlink"/>
          </w:rPr>
          <w:t>https://jira.uhub.biz/browse/GTBEMEAOPT-834</w:t>
        </w:r>
      </w:hyperlink>
    </w:p>
    <w:p w:rsidR="005F5FBA" w:rsidRDefault="005F5FBA" w14:paraId="0A37501D" w14:textId="77777777">
      <w:pPr>
        <w:spacing w:line="276" w:lineRule="auto"/>
        <w:rPr>
          <w:lang w:val="en-US"/>
        </w:rPr>
      </w:pPr>
    </w:p>
    <w:p w:rsidR="00533E3A" w:rsidP="6B19E8C7" w:rsidRDefault="6B19E8C7" w14:paraId="13F1BCB7" w14:textId="1DB2B33A">
      <w:pPr>
        <w:spacing w:line="276" w:lineRule="auto"/>
      </w:pPr>
      <w:r w:rsidRPr="6B19E8C7">
        <w:rPr>
          <w:b/>
          <w:bCs/>
          <w:u w:val="single"/>
        </w:rPr>
        <w:t>Site</w:t>
      </w:r>
      <w:r>
        <w:br/>
      </w:r>
      <w:hyperlink w:history="1" r:id="rId6">
        <w:r w:rsidR="001B6AD8">
          <w:rPr>
            <w:rStyle w:val="Hyperlink"/>
          </w:rPr>
          <w:t>https://www.ford.co.uk/</w:t>
        </w:r>
      </w:hyperlink>
    </w:p>
    <w:p w:rsidR="005F5FBA" w:rsidRDefault="005F5FBA" w14:paraId="5DAB6C7B" w14:textId="77777777">
      <w:pPr>
        <w:spacing w:line="276" w:lineRule="auto"/>
        <w:rPr>
          <w:rStyle w:val="InternetLink"/>
        </w:rPr>
      </w:pPr>
    </w:p>
    <w:p w:rsidR="7E291EC2" w:rsidP="7E291EC2" w:rsidRDefault="7E291EC2" w14:paraId="20DAF563" w14:textId="3C76EAFE">
      <w:pPr>
        <w:spacing w:line="276" w:lineRule="auto"/>
      </w:pPr>
      <w:r w:rsidRPr="7E291EC2">
        <w:rPr>
          <w:b/>
          <w:bCs/>
          <w:u w:val="single"/>
        </w:rPr>
        <w:t>Test location</w:t>
      </w:r>
      <w:r>
        <w:br/>
      </w:r>
      <w:r w:rsidRPr="001B6AD8" w:rsidR="001B6AD8">
        <w:rPr>
          <w:rFonts w:ascii="Calibri" w:hAnsi="Calibri" w:eastAsia="Calibri" w:cs="Calibri"/>
        </w:rPr>
        <w:t>Mach-E Landing Page</w:t>
      </w:r>
    </w:p>
    <w:p w:rsidR="0048591D" w:rsidRDefault="0048591D" w14:paraId="60EC9321" w14:textId="77777777">
      <w:pPr>
        <w:spacing w:line="276" w:lineRule="auto"/>
        <w:rPr>
          <w:b/>
          <w:bCs/>
          <w:u w:val="single"/>
        </w:rPr>
      </w:pPr>
      <w:r>
        <w:br/>
      </w:r>
      <w:r w:rsidRPr="0048591D">
        <w:rPr>
          <w:b/>
          <w:bCs/>
          <w:u w:val="single"/>
        </w:rPr>
        <w:t>Tags</w:t>
      </w:r>
    </w:p>
    <w:p w:rsidR="00AC2379" w:rsidP="00AC2379" w:rsidRDefault="00AC2379" w14:paraId="070BFA22" w14:textId="2C12B62E">
      <w:pPr>
        <w:spacing w:line="276" w:lineRule="auto"/>
      </w:pPr>
      <w:r>
        <w:t xml:space="preserve">CONTROL - </w:t>
      </w:r>
      <w:r w:rsidRPr="001B6AD8" w:rsidR="001B6AD8">
        <w:t>tt:nwp:opt-834:ab:as:video-billboards:control</w:t>
      </w:r>
    </w:p>
    <w:p w:rsidRPr="0048591D" w:rsidR="002B5C97" w:rsidP="00AC2379" w:rsidRDefault="00AC2379" w14:paraId="43C78E7C" w14:textId="3692AC53">
      <w:pPr>
        <w:spacing w:line="276" w:lineRule="auto"/>
      </w:pPr>
      <w:bookmarkStart w:name="_Hlk32384694" w:id="0"/>
      <w:r>
        <w:t xml:space="preserve">CHALLENGER </w:t>
      </w:r>
      <w:bookmarkEnd w:id="0"/>
      <w:r>
        <w:t xml:space="preserve">- </w:t>
      </w:r>
      <w:r w:rsidRPr="001B6AD8" w:rsidR="001B6AD8">
        <w:t>tt:nwp:opt-834:ab:as:video-billboards:challenger</w:t>
      </w:r>
      <w:r w:rsidRPr="0048591D" w:rsidR="0048591D">
        <w:rPr>
          <w:b/>
          <w:bCs/>
          <w:u w:val="single"/>
        </w:rPr>
        <w:br/>
      </w:r>
    </w:p>
    <w:p w:rsidR="005F5FBA" w:rsidP="00533E3A" w:rsidRDefault="7E291EC2" w14:paraId="227C7A14" w14:textId="2CD58239">
      <w:pPr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Hypothesis</w:t>
      </w:r>
      <w:r w:rsidR="6B19E8C7">
        <w:br/>
      </w:r>
      <w:r w:rsidRPr="001B6AD8" w:rsidR="001B6AD8">
        <w:rPr>
          <w:rFonts w:ascii="Calibri" w:hAnsi="Calibri" w:eastAsia="Calibri" w:cs="Calibri"/>
        </w:rPr>
        <w:t>Previous AB testing shows the benefit of video content on the site. We increased BP Starts by 1.2% by introducing video content on desktop, and we are hoping using videos on mobile will also have a positive effect.</w:t>
      </w:r>
    </w:p>
    <w:p w:rsidRPr="000D2DD8" w:rsidR="005F5FBA" w:rsidP="612A22C3" w:rsidRDefault="7E291EC2" w14:paraId="4EB523FB" w14:textId="54B43F1C">
      <w:pPr>
        <w:pStyle w:val="Normal"/>
        <w:tabs>
          <w:tab w:val="left" w:pos="0"/>
        </w:tabs>
        <w:spacing w:after="240" w:line="276" w:lineRule="auto"/>
      </w:pPr>
      <w:r w:rsidRPr="612A22C3" w:rsidR="7E291EC2">
        <w:rPr>
          <w:b w:val="1"/>
          <w:bCs w:val="1"/>
          <w:u w:val="single"/>
        </w:rPr>
        <w:t>Test Description</w:t>
      </w:r>
      <w:r>
        <w:br/>
      </w:r>
      <w:r w:rsidR="00AC2379">
        <w:rPr/>
        <w:t>CHALLENGER</w:t>
      </w:r>
      <w:r w:rsidR="00AC2379">
        <w:rPr/>
        <w:t>: View the Challenger link</w:t>
      </w:r>
      <w:r w:rsidR="001B6AD8">
        <w:rPr/>
        <w:t xml:space="preserve"> on a mobile </w:t>
      </w:r>
      <w:r w:rsidR="43B2D630">
        <w:rPr/>
        <w:t xml:space="preserve">/ tablet device. </w:t>
      </w:r>
      <w:bookmarkStart w:name="_GoBack" w:id="1"/>
      <w:bookmarkEnd w:id="1"/>
      <w:r>
        <w:br/>
      </w:r>
      <w:r w:rsidR="0FA822CA">
        <w:drawing>
          <wp:inline wp14:editId="15577187" wp14:anchorId="796B63BC">
            <wp:extent cx="3114675" cy="4572000"/>
            <wp:effectExtent l="0" t="0" r="0" b="0"/>
            <wp:docPr id="1630151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b38ccd28eb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D2DD8" w:rsidR="005F5FBA" w:rsidP="612A22C3" w:rsidRDefault="7E291EC2" w14:paraId="6B822CD9" w14:textId="618C8B28">
      <w:pPr>
        <w:pStyle w:val="Normal"/>
        <w:tabs>
          <w:tab w:val="left" w:pos="0"/>
        </w:tabs>
        <w:spacing w:after="240" w:line="276" w:lineRule="auto"/>
        <w:rPr>
          <w:b w:val="1"/>
          <w:bCs w:val="1"/>
          <w:u w:val="single"/>
        </w:rPr>
      </w:pPr>
      <w:r w:rsidR="0FA822CA">
        <w:rPr/>
        <w:t xml:space="preserve">The above background image should be replaced with a video. The video should’ve started on load and have loop indefinitely. </w:t>
      </w:r>
      <w:r w:rsidR="7F9D9693">
        <w:rPr/>
        <w:t>Furthermore, there should be a pause/play button at the position of the cross i</w:t>
      </w:r>
      <w:r w:rsidR="76C79AC1">
        <w:rPr/>
        <w:t>n the below image, always in the top right corner just above the stats of the car.</w:t>
      </w:r>
      <w:r w:rsidR="15577187">
        <w:rPr/>
        <w:t xml:space="preserve"> Clicking anywhere on the video area will play/pause the button.</w:t>
      </w:r>
      <w:r>
        <w:br/>
      </w:r>
      <w:r w:rsidR="0E5C7AAC">
        <w:drawing>
          <wp:inline wp14:editId="5B39AB02" wp14:anchorId="0AC951F8">
            <wp:extent cx="3305175" cy="1905000"/>
            <wp:effectExtent l="0" t="0" r="0" b="0"/>
            <wp:docPr id="101903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36bed9fcd6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AD8">
        <w:drawing>
          <wp:inline wp14:editId="3C229704" wp14:anchorId="154AC76C">
            <wp:extent cx="3305175" cy="1905000"/>
            <wp:effectExtent l="0" t="0" r="0" b="0"/>
            <wp:docPr id="1997243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32a137812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AD8">
        <w:drawing>
          <wp:inline wp14:editId="39C47872" wp14:anchorId="41E7AF05">
            <wp:extent cx="3305175" cy="1905000"/>
            <wp:effectExtent l="0" t="0" r="0" b="0"/>
            <wp:docPr id="1496298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40ffca4311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12A22C3" w:rsidR="7E291EC2">
        <w:rPr>
          <w:b w:val="1"/>
          <w:bCs w:val="1"/>
          <w:u w:val="single"/>
        </w:rPr>
        <w:t>Browser:</w:t>
      </w:r>
      <w:r w:rsidR="7E291EC2">
        <w:rPr/>
        <w:t xml:space="preserve"> </w:t>
      </w:r>
      <w:r>
        <w:br/>
      </w:r>
      <w:r w:rsidR="7E291EC2">
        <w:rPr/>
        <w:t>All</w:t>
      </w:r>
      <w:r>
        <w:br/>
      </w:r>
      <w:r>
        <w:br/>
      </w:r>
      <w:r w:rsidRPr="612A22C3" w:rsidR="7E291EC2">
        <w:rPr>
          <w:b w:val="1"/>
          <w:bCs w:val="1"/>
          <w:u w:val="single"/>
        </w:rPr>
        <w:t>Device:</w:t>
      </w:r>
      <w:r w:rsidR="7E291EC2">
        <w:rPr/>
        <w:t xml:space="preserve"> </w:t>
      </w:r>
      <w:r>
        <w:br/>
      </w:r>
      <w:r w:rsidR="7E291EC2">
        <w:rPr/>
        <w:t>All</w:t>
      </w:r>
      <w:r>
        <w:br/>
      </w:r>
      <w:r>
        <w:br/>
      </w:r>
      <w:r w:rsidRPr="612A22C3" w:rsidR="7E291EC2">
        <w:rPr>
          <w:b w:val="1"/>
          <w:bCs w:val="1"/>
          <w:u w:val="single"/>
        </w:rPr>
        <w:t>Audience rules:</w:t>
      </w:r>
      <w:r w:rsidR="7E291EC2">
        <w:rPr/>
        <w:t xml:space="preserve"> </w:t>
      </w:r>
      <w:r>
        <w:br/>
      </w:r>
      <w:r w:rsidRPr="612A22C3" w:rsidR="00533E3A">
        <w:rPr>
          <w:rFonts w:ascii="Calibri" w:hAnsi="Calibri" w:eastAsia="Calibri" w:cs="Calibri"/>
        </w:rPr>
        <w:t>All traffic</w:t>
      </w:r>
      <w:r>
        <w:br/>
      </w:r>
      <w:r>
        <w:br/>
      </w:r>
    </w:p>
    <w:p w:rsidR="005F5FBA" w:rsidRDefault="6B19E8C7" w14:paraId="09DBEEBB" w14:textId="77777777">
      <w:pPr>
        <w:spacing w:line="276" w:lineRule="auto"/>
        <w:rPr>
          <w:b/>
          <w:bCs/>
          <w:color w:val="000000"/>
          <w:u w:val="single"/>
        </w:rPr>
      </w:pPr>
      <w:r w:rsidRPr="6B19E8C7">
        <w:rPr>
          <w:b/>
          <w:bCs/>
          <w:color w:val="000000" w:themeColor="text1"/>
          <w:u w:val="single"/>
        </w:rPr>
        <w:t>QA Links:</w:t>
      </w:r>
    </w:p>
    <w:p w:rsidR="6B19E8C7" w:rsidRDefault="7E291EC2" w14:paraId="243B3A41" w14:textId="4EDF28A9">
      <w:r w:rsidRPr="7E291EC2">
        <w:rPr>
          <w:b/>
          <w:bCs/>
        </w:rPr>
        <w:t>CONTROL:</w:t>
      </w:r>
    </w:p>
    <w:p w:rsidR="7E291EC2" w:rsidP="7E291EC2" w:rsidRDefault="001B6AD8" w14:paraId="3C9E1886" w14:textId="00A58917">
      <w:hyperlink w:history="1" r:id="rId7">
        <w:r w:rsidRPr="00DB4D1F">
          <w:rPr>
            <w:rStyle w:val="Hyperlink"/>
          </w:rPr>
          <w:t>https://www.ford.co.uk/cars/mustang-mach-e?at_preview_token=1xVPVgtycPBbIuaFPfc%2FCg%3D%3D&amp;at_preview_index=1_1&amp;at_preview_listed_activities_only=true&amp;at_preview_evaluate_as_true_audience_ids=3622485</w:t>
        </w:r>
      </w:hyperlink>
    </w:p>
    <w:p w:rsidR="00AC2379" w:rsidP="7E291EC2" w:rsidRDefault="00AC2379" w14:paraId="419A9746" w14:textId="77777777"/>
    <w:p w:rsidR="002B5C97" w:rsidP="7E291EC2" w:rsidRDefault="002B5C97" w14:paraId="7D946785" w14:textId="77777777">
      <w:pPr>
        <w:rPr>
          <w:rFonts w:ascii="Calibri" w:hAnsi="Calibri" w:eastAsia="Calibri" w:cs="Calibri"/>
        </w:rPr>
      </w:pPr>
    </w:p>
    <w:p w:rsidR="6B19E8C7" w:rsidRDefault="00F37CAD" w14:paraId="2E902BC1" w14:textId="5693B09C">
      <w:r>
        <w:rPr>
          <w:b/>
          <w:bCs/>
        </w:rPr>
        <w:t>CHALLENGE</w:t>
      </w:r>
      <w:r w:rsidR="00AC2379">
        <w:rPr>
          <w:b/>
          <w:bCs/>
        </w:rPr>
        <w:t>R</w:t>
      </w:r>
      <w:r w:rsidRPr="7E291EC2" w:rsidR="7E291EC2">
        <w:rPr>
          <w:b/>
          <w:bCs/>
        </w:rPr>
        <w:t>:</w:t>
      </w:r>
    </w:p>
    <w:p w:rsidR="00F37CAD" w:rsidP="00F37CAD" w:rsidRDefault="001B6AD8" w14:paraId="1655A1A2" w14:textId="254299D5">
      <w:hyperlink w:history="1" r:id="rId8">
        <w:r w:rsidRPr="00DB4D1F">
          <w:rPr>
            <w:rStyle w:val="Hyperlink"/>
          </w:rPr>
          <w:t>https://www.ford.co.uk/cars/mustang-mach-e?at_preview_token=1xVPVgtycPBbIuaFPfc%2FCg%3D%3D&amp;at_preview_index=1_2&amp;at_preview_listed_activities_only=true&amp;at_preview_evaluate_as_true_audience_ids=3622485</w:t>
        </w:r>
      </w:hyperlink>
    </w:p>
    <w:p w:rsidR="00F37CAD" w:rsidP="7E291EC2" w:rsidRDefault="00F37CAD" w14:paraId="00481AE1" w14:textId="372409DB"/>
    <w:p w:rsidR="002B5C97" w:rsidP="7E291EC2" w:rsidRDefault="002B5C97" w14:paraId="7550FA8D" w14:textId="77777777">
      <w:pPr>
        <w:rPr>
          <w:rFonts w:ascii="Calibri" w:hAnsi="Calibri" w:eastAsia="Calibri" w:cs="Calibri"/>
        </w:rPr>
      </w:pPr>
    </w:p>
    <w:p w:rsidR="6B19E8C7" w:rsidP="6B19E8C7" w:rsidRDefault="6B19E8C7" w14:paraId="2B57A6D9" w14:textId="2F106DA9">
      <w:pPr>
        <w:pStyle w:val="BodyText"/>
        <w:rPr>
          <w:rStyle w:val="InternetLink"/>
        </w:rPr>
      </w:pPr>
    </w:p>
    <w:p w:rsidR="005F5FBA" w:rsidRDefault="005F5FBA" w14:paraId="0D0B940D" w14:textId="77777777">
      <w:pPr>
        <w:pStyle w:val="BodyText"/>
        <w:rPr>
          <w:rStyle w:val="InternetLink"/>
        </w:rPr>
      </w:pPr>
    </w:p>
    <w:p w:rsidR="005F5FBA" w:rsidRDefault="005F5FBA" w14:paraId="0E27B00A" w14:textId="77777777">
      <w:pPr>
        <w:pStyle w:val="BodyText"/>
        <w:rPr>
          <w:rStyle w:val="InternetLink"/>
        </w:rPr>
      </w:pPr>
    </w:p>
    <w:p w:rsidR="005F5FBA" w:rsidRDefault="005F5FBA" w14:paraId="60061E4C" w14:textId="77777777">
      <w:pPr>
        <w:spacing w:line="276" w:lineRule="auto"/>
      </w:pPr>
    </w:p>
    <w:p w:rsidR="005F5FBA" w:rsidRDefault="005F5FBA" w14:paraId="44EAFD9C" w14:textId="77777777">
      <w:pPr>
        <w:spacing w:line="276" w:lineRule="auto"/>
      </w:pPr>
    </w:p>
    <w:sectPr w:rsidR="005F5FBA">
      <w:pgSz w:w="11906" w:h="16838" w:orient="portrait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6B2E"/>
    <w:multiLevelType w:val="multilevel"/>
    <w:tmpl w:val="01FC6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" w15:restartNumberingAfterBreak="0">
    <w:nsid w:val="44AD5E12"/>
    <w:multiLevelType w:val="multilevel"/>
    <w:tmpl w:val="3BD0F3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A42653"/>
    <w:multiLevelType w:val="hybridMultilevel"/>
    <w:tmpl w:val="D108A1D2"/>
    <w:lvl w:ilvl="0" w:tplc="8222C9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289A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F684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DA5C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0ADC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CC2A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A21B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445C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3460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6F46C8E"/>
    <w:multiLevelType w:val="multilevel"/>
    <w:tmpl w:val="868053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OpenSymbol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C23FE"/>
    <w:rsid w:val="000D2DD8"/>
    <w:rsid w:val="001B6AD8"/>
    <w:rsid w:val="002B5C97"/>
    <w:rsid w:val="0048591D"/>
    <w:rsid w:val="004F36AE"/>
    <w:rsid w:val="00502BA9"/>
    <w:rsid w:val="00533E3A"/>
    <w:rsid w:val="005F5FBA"/>
    <w:rsid w:val="00AC2379"/>
    <w:rsid w:val="00BB55EC"/>
    <w:rsid w:val="00F37CAD"/>
    <w:rsid w:val="06917CA8"/>
    <w:rsid w:val="094DD273"/>
    <w:rsid w:val="0E5C7AAC"/>
    <w:rsid w:val="0FA822CA"/>
    <w:rsid w:val="15577187"/>
    <w:rsid w:val="355C23FE"/>
    <w:rsid w:val="3B15CA15"/>
    <w:rsid w:val="3C5952D6"/>
    <w:rsid w:val="3D8283DD"/>
    <w:rsid w:val="43B2D630"/>
    <w:rsid w:val="4572F95B"/>
    <w:rsid w:val="53D66322"/>
    <w:rsid w:val="612A22C3"/>
    <w:rsid w:val="6B19E8C7"/>
    <w:rsid w:val="76C79AC1"/>
    <w:rsid w:val="7E291EC2"/>
    <w:rsid w:val="7F9D9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4C2B"/>
  <w15:docId w15:val="{59140C92-76F2-40E8-8E79-2C4BE06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ListLabel1" w:customStyle="1">
    <w:name w:val="ListLabel 1"/>
    <w:qFormat/>
    <w:rPr>
      <w:u w:val="single"/>
    </w:rPr>
  </w:style>
  <w:style w:type="character" w:styleId="ListLabel2" w:customStyle="1">
    <w:name w:val="ListLabel 2"/>
    <w:qFormat/>
  </w:style>
  <w:style w:type="character" w:styleId="ListLabel3" w:customStyle="1">
    <w:name w:val="ListLabel 3"/>
    <w:qFormat/>
    <w:rPr>
      <w:u w:val="single"/>
    </w:rPr>
  </w:style>
  <w:style w:type="character" w:styleId="ListLabel4" w:customStyle="1">
    <w:name w:val="ListLabel 4"/>
    <w:qFormat/>
  </w:style>
  <w:style w:type="character" w:styleId="ListLabel5" w:customStyle="1">
    <w:name w:val="ListLabel 5"/>
    <w:qFormat/>
    <w:rPr>
      <w:u w:val="single"/>
    </w:rPr>
  </w:style>
  <w:style w:type="character" w:styleId="ListLabel6" w:customStyle="1">
    <w:name w:val="ListLabel 6"/>
    <w:qFormat/>
  </w:style>
  <w:style w:type="character" w:styleId="ListLabel7" w:customStyle="1">
    <w:name w:val="ListLabel 7"/>
    <w:qFormat/>
    <w:rPr>
      <w:u w:val="single"/>
    </w:rPr>
  </w:style>
  <w:style w:type="character" w:styleId="ListLabel8" w:customStyle="1">
    <w:name w:val="ListLabel 8"/>
    <w:qFormat/>
  </w:style>
  <w:style w:type="character" w:styleId="ListLabel9" w:customStyle="1">
    <w:name w:val="ListLabel 9"/>
    <w:qFormat/>
    <w:rPr>
      <w:b/>
    </w:rPr>
  </w:style>
  <w:style w:type="character" w:styleId="ListLabel10" w:customStyle="1">
    <w:name w:val="ListLabel 10"/>
    <w:qFormat/>
    <w:rPr>
      <w:u w:val="single"/>
    </w:rPr>
  </w:style>
  <w:style w:type="character" w:styleId="ListLabel11" w:customStyle="1">
    <w:name w:val="ListLabel 11"/>
    <w:qFormat/>
  </w:style>
  <w:style w:type="character" w:styleId="ListLabel12" w:customStyle="1">
    <w:name w:val="ListLabel 12"/>
    <w:qFormat/>
    <w:rPr>
      <w:b/>
      <w:color w:val="000000"/>
      <w:u w:val="none"/>
    </w:rPr>
  </w:style>
  <w:style w:type="character" w:styleId="ListLabel13" w:customStyle="1">
    <w:name w:val="ListLabel 13"/>
    <w:qFormat/>
    <w:rPr>
      <w:u w:val="single"/>
    </w:rPr>
  </w:style>
  <w:style w:type="character" w:styleId="ListLabel14" w:customStyle="1">
    <w:name w:val="ListLabel 14"/>
    <w:qFormat/>
  </w:style>
  <w:style w:type="character" w:styleId="ListLabel15" w:customStyle="1">
    <w:name w:val="ListLabel 15"/>
    <w:qFormat/>
    <w:rPr>
      <w:b/>
    </w:rPr>
  </w:style>
  <w:style w:type="character" w:styleId="ListLabel16" w:customStyle="1">
    <w:name w:val="ListLabel 16"/>
    <w:qFormat/>
    <w:rPr>
      <w:u w:val="single"/>
    </w:rPr>
  </w:style>
  <w:style w:type="character" w:styleId="ListLabel17" w:customStyle="1">
    <w:name w:val="ListLabel 17"/>
    <w:qFormat/>
    <w:rPr>
      <w:b/>
      <w:color w:val="000000"/>
      <w:u w:val="none"/>
    </w:rPr>
  </w:style>
  <w:style w:type="character" w:styleId="ListLabel18" w:customStyle="1">
    <w:name w:val="ListLabel 18"/>
    <w:qFormat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9" w:customStyle="1">
    <w:name w:val="ListLabel 19"/>
    <w:qFormat/>
  </w:style>
  <w:style w:type="character" w:styleId="ListLabel20" w:customStyle="1">
    <w:name w:val="ListLabel 20"/>
    <w:qFormat/>
  </w:style>
  <w:style w:type="character" w:styleId="ListLabel21" w:customStyle="1">
    <w:name w:val="ListLabel 21"/>
    <w:qFormat/>
  </w:style>
  <w:style w:type="character" w:styleId="ListLabel22" w:customStyle="1">
    <w:name w:val="ListLabel 22"/>
    <w:qFormat/>
  </w:style>
  <w:style w:type="character" w:styleId="ins" w:customStyle="1">
    <w:name w:val="ins"/>
    <w:qFormat/>
  </w:style>
  <w:style w:type="character" w:styleId="Emphasis">
    <w:name w:val="Emphasis"/>
    <w:qFormat/>
    <w:rPr>
      <w:i/>
      <w:iCs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rFonts w:ascii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ford.co.uk/cars/mustang-mach-e?at_preview_token=1xVPVgtycPBbIuaFPfc%2FCg%3D%3D&amp;at_preview_index=1_2&amp;at_preview_listed_activities_only=true&amp;at_preview_evaluate_as_true_audience_ids=3622485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ford.co.uk/cars/mustang-mach-e?at_preview_token=1xVPVgtycPBbIuaFPfc%2FCg%3D%3D&amp;at_preview_index=1_1&amp;at_preview_listed_activities_only=true&amp;at_preview_evaluate_as_true_audience_ids=3622485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ford.co.uk/" TargetMode="External" Id="rId6" /><Relationship Type="http://schemas.openxmlformats.org/officeDocument/2006/relationships/hyperlink" Target="https://jira.uhub.biz/browse/GTBEMEAOPT-834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98b38ccd28eb4548" /><Relationship Type="http://schemas.openxmlformats.org/officeDocument/2006/relationships/image" Target="/media/image2.png" Id="Ra436bed9fcd64d92" /><Relationship Type="http://schemas.openxmlformats.org/officeDocument/2006/relationships/image" Target="/media/image3.png" Id="Rcfc32a1378124b5b" /><Relationship Type="http://schemas.openxmlformats.org/officeDocument/2006/relationships/image" Target="/media/image4.png" Id="Ree40ffca43114f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Friedman, Janine</dc:creator>
  <dc:description/>
  <lastModifiedBy>Mark Ferreira</lastModifiedBy>
  <revision>9</revision>
  <dcterms:created xsi:type="dcterms:W3CDTF">2020-01-20T12:50:00.0000000Z</dcterms:created>
  <dcterms:modified xsi:type="dcterms:W3CDTF">2020-03-27T07:41:48.7735226Z</dcterms:modified>
  <dc:language>en-ZA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