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20.18] OT-847 | XT | BEFR | AS | Send to Dealer Popin v1 – 5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https://jira.uhub.biz/browse/GTBEMEAOPT-847</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https://www.fr.ford.be/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“Configurateur”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Clicking on the CTA button should take you to a deep linked page, if available. See images below.</w:t>
      </w:r>
    </w:p>
    <w:p w:rsidR="00000000" w:rsidDel="00000000" w:rsidP="00000000" w:rsidRDefault="00000000" w:rsidRPr="00000000" w14:paraId="0000000B">
      <w:pPr>
        <w:tabs>
          <w:tab w:val="left" w:pos="0"/>
        </w:tabs>
        <w:spacing w:after="240" w:line="276" w:lineRule="auto"/>
        <w:rPr/>
      </w:pP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The Popup:</w:t>
      </w:r>
    </w:p>
    <w:p w:rsidR="00000000" w:rsidDel="00000000" w:rsidP="00000000" w:rsidRDefault="00000000" w:rsidRPr="00000000" w14:paraId="00000011">
      <w:pPr>
        <w:tabs>
          <w:tab w:val="left" w:pos="0"/>
        </w:tabs>
        <w:spacing w:after="240" w:line="276" w:lineRule="auto"/>
        <w:rPr/>
      </w:pPr>
      <w:r w:rsidDel="00000000" w:rsidR="00000000" w:rsidRPr="00000000">
        <w:rPr/>
        <w:drawing>
          <wp:inline distB="114300" distT="114300" distL="114300" distR="114300">
            <wp:extent cx="5734050" cy="24511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The mini popup:</w:t>
      </w:r>
    </w:p>
    <w:p w:rsidR="00000000" w:rsidDel="00000000" w:rsidP="00000000" w:rsidRDefault="00000000" w:rsidRPr="00000000" w14:paraId="00000013">
      <w:pPr>
        <w:tabs>
          <w:tab w:val="left" w:pos="0"/>
        </w:tabs>
        <w:spacing w:after="240" w:line="276" w:lineRule="auto"/>
        <w:rPr/>
      </w:pPr>
      <w:r w:rsidDel="00000000" w:rsidR="00000000" w:rsidRPr="00000000">
        <w:rPr/>
        <w:drawing>
          <wp:inline distB="114300" distT="114300" distL="114300" distR="114300">
            <wp:extent cx="5734050" cy="24892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6">
      <w:pPr>
        <w:tabs>
          <w:tab w:val="left" w:pos="0"/>
        </w:tabs>
        <w:spacing w:after="240" w:line="276" w:lineRule="auto"/>
        <w:rPr/>
      </w:pPr>
      <w:r w:rsidDel="00000000" w:rsidR="00000000" w:rsidRPr="00000000">
        <w:rPr/>
        <w:drawing>
          <wp:inline distB="114300" distT="114300" distL="114300" distR="114300">
            <wp:extent cx="5734050" cy="31877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0"/>
        </w:tabs>
        <w:spacing w:after="240" w:line="276" w:lineRule="auto"/>
        <w:rPr/>
      </w:pPr>
      <w:r w:rsidDel="00000000" w:rsidR="00000000" w:rsidRPr="00000000">
        <w:rPr>
          <w:rtl w:val="0"/>
        </w:rPr>
      </w:r>
    </w:p>
    <w:p w:rsidR="00000000" w:rsidDel="00000000" w:rsidP="00000000" w:rsidRDefault="00000000" w:rsidRPr="00000000" w14:paraId="00000018">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“Mon récapitulatif” on the next page click on the white button that says “Envoyer au distributeur”. Once you’ve done this, open the “Only on profile script true” link again. There shouldn’t be a popup for that vehicle. </w:t>
      </w:r>
    </w:p>
    <w:p w:rsidR="00000000" w:rsidDel="00000000" w:rsidP="00000000" w:rsidRDefault="00000000" w:rsidRPr="00000000" w14:paraId="00000019">
      <w:pPr>
        <w:tabs>
          <w:tab w:val="left" w:pos="0"/>
        </w:tabs>
        <w:spacing w:after="240" w:line="276" w:lineRule="auto"/>
        <w:rPr>
          <w:b w:val="1"/>
        </w:rPr>
      </w:pPr>
      <w:r w:rsidDel="00000000" w:rsidR="00000000" w:rsidRPr="00000000">
        <w:rPr>
          <w:rtl w:val="0"/>
        </w:rPr>
        <w:t xml:space="preserve">The above will also show you whether the vehicle has deep links or not. Clicking on the “Envoyer au distributeur” button will show you a popup that is either deep linked or showing the generic view with all cars to choose from.</w:t>
      </w:r>
      <w:r w:rsidDel="00000000" w:rsidR="00000000" w:rsidRPr="00000000">
        <w:rPr>
          <w:rtl w:val="0"/>
        </w:rPr>
      </w:r>
    </w:p>
    <w:p w:rsidR="00000000" w:rsidDel="00000000" w:rsidP="00000000" w:rsidRDefault="00000000" w:rsidRPr="00000000" w14:paraId="0000001A">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B">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C">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D">
      <w:pPr>
        <w:spacing w:line="276" w:lineRule="auto"/>
        <w:rPr>
          <w:b w:val="1"/>
          <w:color w:val="000000"/>
          <w:u w:val="single"/>
        </w:rPr>
      </w:pPr>
      <w:r w:rsidDel="00000000" w:rsidR="00000000" w:rsidRPr="00000000">
        <w:rPr>
          <w:rtl w:val="0"/>
        </w:rPr>
      </w:r>
    </w:p>
    <w:p w:rsidR="00000000" w:rsidDel="00000000" w:rsidP="00000000" w:rsidRDefault="00000000" w:rsidRPr="00000000" w14:paraId="0000001E">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F">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20">
      <w:pPr>
        <w:rPr>
          <w:b w:val="1"/>
        </w:rPr>
      </w:pPr>
      <w:hyperlink r:id="rId12">
        <w:r w:rsidDel="00000000" w:rsidR="00000000" w:rsidRPr="00000000">
          <w:rPr>
            <w:b w:val="1"/>
            <w:color w:val="1155cc"/>
            <w:u w:val="single"/>
            <w:rtl w:val="0"/>
          </w:rPr>
          <w:t xml:space="preserve">https://www.fr.ford.be/?at_preview_token=rM2DkW27sV6IAHzujLzzlQ%3D%3D&amp;at_preview_index=1_1&amp;at_preview_listed_activities_only=true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w:t>
      </w:r>
    </w:p>
    <w:p w:rsidR="00000000" w:rsidDel="00000000" w:rsidP="00000000" w:rsidRDefault="00000000" w:rsidRPr="00000000" w14:paraId="00000022">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23">
      <w:pPr>
        <w:rPr/>
      </w:pPr>
      <w:hyperlink r:id="rId13">
        <w:r w:rsidDel="00000000" w:rsidR="00000000" w:rsidRPr="00000000">
          <w:rPr>
            <w:b w:val="1"/>
            <w:color w:val="1155cc"/>
            <w:u w:val="single"/>
            <w:rtl w:val="0"/>
          </w:rPr>
          <w:t xml:space="preserve">https://www.fr.ford.be/?at_preview_token=rM2DkW27sV6IAHzujLzzlQ%3D%3D&amp;at_preview_index=1_2&amp;at_preview_listed_activities_only=true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fr.ford.be/?at_preview_token=rM2DkW27sV6IAHzujLzzlQ%3D%3D&amp;at_preview_index=1_2&amp;at_preview_listed_activities_only=true" TargetMode="External"/><Relationship Id="rId12" Type="http://schemas.openxmlformats.org/officeDocument/2006/relationships/hyperlink" Target="https://www.fr.ford.be/?at_preview_token=rM2DkW27sV6IAHzujLzzlQ%3D%3D&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47" TargetMode="External"/><Relationship Id="rId8" Type="http://schemas.openxmlformats.org/officeDocument/2006/relationships/hyperlink" Target="https://www.fr.ford.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pAqpNUEn2e9I2LwFU+WTiCWYw==">AMUW2mWSfKgTSiGG7pb1h+vl7CZLrCNw3IGdaAcOpJC7/suAf9KLC/3ZSk50F3HBSpUg88ZLlocyx4jfUKdYDmXUllzhatiAkIHWROUscZ2slI1R5GZFUgk=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