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20.26] OT-825 | XT | ES | AS | TDR Popin 2.0 – 30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https://jira.uhub.biz/browse/GTBEMEAOPT-882</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https://www.ford.es/</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TDR</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r>
      <w:r w:rsidDel="00000000" w:rsidR="00000000" w:rsidRPr="00000000">
        <w:rPr>
          <w:rFonts w:ascii="Calibri" w:cs="Calibri" w:eastAsia="Calibri" w:hAnsi="Calibri"/>
          <w:rtl w:val="0"/>
        </w:rPr>
        <w:t xml:space="preserve">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bookmarkStart w:colFirst="0" w:colLast="0" w:name="_heading=h.gjdgxs" w:id="0"/>
      <w:bookmarkEnd w:id="0"/>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b w:val="1"/>
          <w:u w:val="single"/>
        </w:rPr>
      </w:pPr>
      <w:r w:rsidDel="00000000" w:rsidR="00000000" w:rsidRPr="00000000">
        <w:rPr>
          <w:rtl w:val="0"/>
        </w:rPr>
        <w:t xml:space="preserve">View the BnP Start and Finish link. Click on the Configura link in the main heading. Select any vehicle (Except for the NUEVO PUMA, the NEUVO-FORD-EXPLORER and the NUEVA KUGA) and configure it. Take note of which vehicle you’ve selected.</w:t>
        <w:br w:type="textWrapping"/>
        <w:br w:type="textWrapping"/>
        <w:t xml:space="preserve">Next view the “Only on profile script true” link. If the vehicle has Test Drives available a popup will appear 10 seconds after viewing the page. You can view a list of the vehicles that can be test driven by clicking the “Test Drive Link” underneath the extra links. Do note however that just because the vehicle can be test driven, does not mean it can be configured (Build and Priced). </w:t>
        <w:br w:type="textWrapping"/>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B">
      <w:pPr>
        <w:spacing w:line="276" w:lineRule="auto"/>
        <w:rPr>
          <w:b w:val="1"/>
          <w:color w:val="000000"/>
          <w:u w:val="single"/>
        </w:rPr>
      </w:pPr>
      <w:r w:rsidDel="00000000" w:rsidR="00000000" w:rsidRPr="00000000">
        <w:rPr>
          <w:rtl w:val="0"/>
        </w:rPr>
      </w:r>
    </w:p>
    <w:p w:rsidR="00000000" w:rsidDel="00000000" w:rsidP="00000000" w:rsidRDefault="00000000" w:rsidRPr="00000000" w14:paraId="0000000C">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0D">
      <w:pPr>
        <w:rPr>
          <w:b w:val="1"/>
        </w:rPr>
      </w:pPr>
      <w:r w:rsidDel="00000000" w:rsidR="00000000" w:rsidRPr="00000000">
        <w:rPr>
          <w:b w:val="1"/>
          <w:rtl w:val="0"/>
        </w:rPr>
        <w:t xml:space="preserve">BnP Start and Finish</w:t>
      </w:r>
    </w:p>
    <w:p w:rsidR="00000000" w:rsidDel="00000000" w:rsidP="00000000" w:rsidRDefault="00000000" w:rsidRPr="00000000" w14:paraId="0000000E">
      <w:pPr>
        <w:rPr/>
      </w:pPr>
      <w:hyperlink r:id="rId9">
        <w:r w:rsidDel="00000000" w:rsidR="00000000" w:rsidRPr="00000000">
          <w:rPr>
            <w:color w:val="1155cc"/>
            <w:u w:val="single"/>
            <w:rtl w:val="0"/>
          </w:rPr>
          <w:t xml:space="preserve">https://www.ford.es/?at_preview_token=6RDOmI7rJi4fX1IOhO990Q&amp;at_preview_index=1_1&amp;at_preview_listed_activities_only=true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w:t>
      </w:r>
    </w:p>
    <w:p w:rsidR="00000000" w:rsidDel="00000000" w:rsidP="00000000" w:rsidRDefault="00000000" w:rsidRPr="00000000" w14:paraId="00000010">
      <w:pPr>
        <w:rPr>
          <w:b w:val="1"/>
        </w:rPr>
      </w:pPr>
      <w:r w:rsidDel="00000000" w:rsidR="00000000" w:rsidRPr="00000000">
        <w:rPr>
          <w:b w:val="1"/>
          <w:rtl w:val="0"/>
        </w:rPr>
        <w:t xml:space="preserve">Only on profile script true</w:t>
      </w:r>
    </w:p>
    <w:p w:rsidR="00000000" w:rsidDel="00000000" w:rsidP="00000000" w:rsidRDefault="00000000" w:rsidRPr="00000000" w14:paraId="00000011">
      <w:pPr>
        <w:rPr/>
      </w:pPr>
      <w:hyperlink r:id="rId10">
        <w:r w:rsidDel="00000000" w:rsidR="00000000" w:rsidRPr="00000000">
          <w:rPr>
            <w:color w:val="1155cc"/>
            <w:u w:val="single"/>
            <w:rtl w:val="0"/>
          </w:rPr>
          <w:t xml:space="preserve">https://www.ford.es/?at_preview_token=6RDOmI7rJi4fX1IOhO990Q&amp;at_preview_index=1_2&amp;at_preview_listed_activities_only=true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Extra Links:</w:t>
      </w:r>
    </w:p>
    <w:p w:rsidR="00000000" w:rsidDel="00000000" w:rsidP="00000000" w:rsidRDefault="00000000" w:rsidRPr="00000000" w14:paraId="00000014">
      <w:pPr>
        <w:rPr>
          <w:b w:val="1"/>
        </w:rPr>
      </w:pPr>
      <w:r w:rsidDel="00000000" w:rsidR="00000000" w:rsidRPr="00000000">
        <w:rPr>
          <w:b w:val="1"/>
          <w:rtl w:val="0"/>
        </w:rPr>
        <w:t xml:space="preserve">Test Drive Link</w:t>
      </w:r>
    </w:p>
    <w:p w:rsidR="00000000" w:rsidDel="00000000" w:rsidP="00000000" w:rsidRDefault="00000000" w:rsidRPr="00000000" w14:paraId="00000015">
      <w:pPr>
        <w:rPr>
          <w:b w:val="1"/>
          <w:color w:val="000000"/>
          <w:u w:val="none"/>
        </w:rPr>
      </w:pPr>
      <w:hyperlink r:id="rId11">
        <w:r w:rsidDel="00000000" w:rsidR="00000000" w:rsidRPr="00000000">
          <w:rPr>
            <w:color w:val="0563c1"/>
            <w:u w:val="single"/>
            <w:rtl w:val="0"/>
          </w:rPr>
          <w:t xml:space="preserve">https://www.ford.es/compra/encuentra/prueba-de-vehiculo</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es/compra/encuentra/prueba-de-vehiculo" TargetMode="External"/><Relationship Id="rId10" Type="http://schemas.openxmlformats.org/officeDocument/2006/relationships/hyperlink" Target="https://www.ford.es/?at_preview_token=6RDOmI7rJi4fX1IOhO990Q&amp;at_preview_index=1_2&amp;at_preview_listed_activities_only=true" TargetMode="External"/><Relationship Id="rId9" Type="http://schemas.openxmlformats.org/officeDocument/2006/relationships/hyperlink" Target="https://www.ford.es/?at_preview_token=6RDOmI7rJi4fX1IOhO990Q&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82" TargetMode="External"/><Relationship Id="rId8" Type="http://schemas.openxmlformats.org/officeDocument/2006/relationships/hyperlink" Target="https://www.fo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XwmQgsGx2WNMha+xH7rhmRpt1g==">AMUW2mUxwI2lax6nadwGdXLSt5W8FCJnHC+mT3h+QYyD3p3BjqjA7EHi7CsFvyUiIVMZ10qM32P6CaIfQCD0I9YwMFF11dTYEIMnqDQcg5nu85hEKy30lTYz3KfQx3vfu3JsMKIG9mExXsnmIPkh6jMCTLqK4EyI8+Z5lDKEoOSJEloSdbs5GrpSLonRXBOpb3OFg0TJ/75G1/Jk27fPHyNzUtjmG9dX3IYJQ58Zty0BsYcVxfv+gDaUjT5NlnAwPFArCLynNkL4nlLEKLOUycsv4dNsoUPEdONXu6SB3yHksmkkYSdLU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