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20.16] OT-849 | XT | DE | BP | BP "Send to Dealer" Popin  – 17 April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https://jira.uhub.biz/browse/GTBEMEAOPT-849</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https://www.ford.de</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Build &amp; Price Summary Page</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pPr>
      <w:r w:rsidDel="00000000" w:rsidR="00000000" w:rsidRPr="00000000">
        <w:rPr>
          <w:b w:val="1"/>
          <w:u w:val="single"/>
          <w:rtl w:val="0"/>
        </w:rPr>
        <w:t xml:space="preserve">Hypothesis</w:t>
      </w:r>
      <w:r w:rsidDel="00000000" w:rsidR="00000000" w:rsidRPr="00000000">
        <w:rPr>
          <w:rtl w:val="0"/>
        </w:rPr>
        <w:br w:type="textWrapping"/>
        <w:t xml:space="preserve">We believe that deploying a message highlighting Send to Dealer when users land on the configurator will help our customers know that it is still possible to maintain a direct line with dealerships, and information about configured vehicles can still be sent to them in an accurate manner. We believe this will encourage BP Completes.</w:t>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QA link. Click the “Konfigurator” link at the top of the page in the main header. On the next page select any vehicle by clicking on them. Once on this page, click on the “Zusammenfassung &amp; nächste Schritte”button on the right of the screen. Now you are on the summary page. After 15 seconds a popup will appear that looks something like the image found in this document.</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This popup will only appear once.</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If you get to the summary page and immediately press on the “Konfiguration an Händler senden” button before the popup appears. The popup will no longer appear. In the above case, the only way for the popup to re-appear is to go back twice so you’re on the page where you select a vehicle to configure and then go through the steps again. </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Note this only works if you clicked on the “Konfiguration an Händler senden” button before the popup appears. If you’ve already seen the popup and you try the above the popup will not appear.</w:t>
      </w:r>
      <w:r w:rsidDel="00000000" w:rsidR="00000000" w:rsidRPr="00000000">
        <w:br w:type="page"/>
      </w: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drawing>
          <wp:inline distB="114300" distT="114300" distL="114300" distR="114300">
            <wp:extent cx="5734050" cy="2882900"/>
            <wp:effectExtent b="0" l="0" r="0" t="0"/>
            <wp:docPr descr="Figure 1.1" id="5" name="image1.png"/>
            <a:graphic>
              <a:graphicData uri="http://schemas.openxmlformats.org/drawingml/2006/picture">
                <pic:pic>
                  <pic:nvPicPr>
                    <pic:cNvPr descr="Figure 1.1" id="0" name="image1.png"/>
                    <pic:cNvPicPr preferRelativeResize="0"/>
                  </pic:nvPicPr>
                  <pic:blipFill>
                    <a:blip r:embed="rId9"/>
                    <a:srcRect b="0" l="0" r="0" t="0"/>
                    <a:stretch>
                      <a:fillRect/>
                    </a:stretch>
                  </pic:blipFill>
                  <pic:spPr>
                    <a:xfrm>
                      <a:off x="0" y="0"/>
                      <a:ext cx="5734050" cy="2882900"/>
                    </a:xfrm>
                    <a:prstGeom prst="rect"/>
                    <a:ln/>
                  </pic:spPr>
                </pic:pic>
              </a:graphicData>
            </a:graphic>
          </wp:inline>
        </w:drawing>
      </w:r>
      <w:r w:rsidDel="00000000" w:rsidR="00000000" w:rsidRPr="00000000">
        <w:rPr>
          <w:rtl w:val="0"/>
        </w:rPr>
        <w:tab/>
        <w:tab/>
      </w:r>
    </w:p>
    <w:p w:rsidR="00000000" w:rsidDel="00000000" w:rsidP="00000000" w:rsidRDefault="00000000" w:rsidRPr="00000000" w14:paraId="00000010">
      <w:pPr>
        <w:tabs>
          <w:tab w:val="left" w:pos="0"/>
        </w:tabs>
        <w:spacing w:after="240" w:line="276" w:lineRule="auto"/>
        <w:rPr>
          <w:b w:val="1"/>
          <w:u w:val="single"/>
        </w:rPr>
      </w:pPr>
      <w:r w:rsidDel="00000000" w:rsidR="00000000" w:rsidRPr="00000000">
        <w:rPr>
          <w:rtl w:val="0"/>
        </w:rPr>
        <w:br w:type="textWrapping"/>
      </w: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1">
      <w:pPr>
        <w:spacing w:line="276" w:lineRule="auto"/>
        <w:rPr>
          <w:b w:val="1"/>
          <w:color w:val="000000"/>
          <w:u w:val="single"/>
        </w:rPr>
      </w:pPr>
      <w:r w:rsidDel="00000000" w:rsidR="00000000" w:rsidRPr="00000000">
        <w:rPr>
          <w:rtl w:val="0"/>
        </w:rPr>
      </w:r>
    </w:p>
    <w:p w:rsidR="00000000" w:rsidDel="00000000" w:rsidP="00000000" w:rsidRDefault="00000000" w:rsidRPr="00000000" w14:paraId="00000012">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3">
      <w:pPr>
        <w:rPr/>
      </w:pPr>
      <w:hyperlink r:id="rId10">
        <w:r w:rsidDel="00000000" w:rsidR="00000000" w:rsidRPr="00000000">
          <w:rPr>
            <w:color w:val="1155cc"/>
            <w:u w:val="single"/>
            <w:rtl w:val="0"/>
          </w:rPr>
          <w:t xml:space="preserve">https://www.ford.de/?at_preview_token=cZvGuX22lNLOzZu6fUo%2FzA%3D%3D&amp;at_preview_index=1_1&amp;at_preview_listed_activities_only=true</w:t>
        </w:r>
      </w:hyperlink>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14">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ord.de/?at_preview_token=cZvGuX22lNLOzZu6fUo%2FzA%3D%3D&amp;at_preview_index=1_1&amp;at_preview_listed_activities_only=tru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49" TargetMode="External"/><Relationship Id="rId8" Type="http://schemas.openxmlformats.org/officeDocument/2006/relationships/hyperlink" Target="https://www.for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day/3MMg3ocwLuRbB0BbG7YReg==">AMUW2mXmi1ehJRtpONOlMXLPenhVUzCtXKcACVHb+BCmxuO7q6jj9hCpffTqAJ4u3XYb3sgF/Q13njhIZdkAbyG9QcZ9UcrDzUiBG43iiqcVcmNpWJh7PS85sNpAKst6MqunMqdYK5vK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