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 [DEV 20.22] OT-843 | XT | FR | AS | Find a Dealer Popin v1 – 8 June 2020</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https://jira.uhub.biz/browse/GTBEMEAOPT-878</w:t>
        </w:r>
      </w:hyperlink>
      <w:r w:rsidDel="00000000" w:rsidR="00000000" w:rsidRPr="00000000">
        <w:rPr>
          <w:rtl w:val="0"/>
        </w:rPr>
        <w:t xml:space="preserve"> </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0563c1"/>
            <w:u w:val="single"/>
            <w:rtl w:val="0"/>
          </w:rPr>
          <w:t xml:space="preserve">https://www.ford.fr/</w:t>
        </w:r>
      </w:hyperlink>
      <w:r w:rsidDel="00000000" w:rsidR="00000000" w:rsidRPr="00000000">
        <w:rPr>
          <w:rtl w:val="0"/>
        </w:rPr>
        <w:t xml:space="preserve"> </w:t>
      </w:r>
    </w:p>
    <w:p w:rsidR="00000000" w:rsidDel="00000000" w:rsidP="00000000" w:rsidRDefault="00000000" w:rsidRPr="00000000" w14:paraId="00000006">
      <w:pPr>
        <w:spacing w:line="276" w:lineRule="auto"/>
        <w:rPr>
          <w:color w:val="0563c1"/>
          <w:u w:val="singl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b w:val="1"/>
          <w:u w:val="single"/>
          <w:rtl w:val="0"/>
        </w:rPr>
        <w:t xml:space="preserve">Test location</w:t>
      </w:r>
      <w:r w:rsidDel="00000000" w:rsidR="00000000" w:rsidRPr="00000000">
        <w:rPr>
          <w:rtl w:val="0"/>
        </w:rPr>
        <w:br w:type="textWrapping"/>
      </w:r>
      <w:r w:rsidDel="00000000" w:rsidR="00000000" w:rsidRPr="00000000">
        <w:rPr>
          <w:rFonts w:ascii="Calibri" w:cs="Calibri" w:eastAsia="Calibri" w:hAnsi="Calibri"/>
          <w:rtl w:val="0"/>
        </w:rPr>
        <w:t xml:space="preserve">All pages except on BnP</w:t>
      </w:r>
      <w:r w:rsidDel="00000000" w:rsidR="00000000" w:rsidRPr="00000000">
        <w:rPr>
          <w:rtl w:val="0"/>
        </w:rPr>
        <w:br w:type="textWrapping"/>
      </w:r>
    </w:p>
    <w:p w:rsidR="00000000" w:rsidDel="00000000" w:rsidP="00000000" w:rsidRDefault="00000000" w:rsidRPr="00000000" w14:paraId="00000008">
      <w:pPr>
        <w:spacing w:after="240" w:line="276" w:lineRule="auto"/>
        <w:rPr>
          <w:b w:val="1"/>
          <w:u w:val="single"/>
        </w:rPr>
      </w:pPr>
      <w:r w:rsidDel="00000000" w:rsidR="00000000" w:rsidRPr="00000000">
        <w:rPr>
          <w:b w:val="1"/>
          <w:u w:val="single"/>
          <w:rtl w:val="0"/>
        </w:rPr>
        <w:t xml:space="preserve">Hypothesis</w:t>
      </w:r>
      <w:r w:rsidDel="00000000" w:rsidR="00000000" w:rsidRPr="00000000">
        <w:rPr>
          <w:rtl w:val="0"/>
        </w:rPr>
        <w:br w:type="textWrapping"/>
        <w:t xml:space="preserve">Analysis on the TDR Popin and UC5 has shown that TDR Popin converts at a higher rate than UC5 for TDR Completes. We know that we can expect the conversion rate to be 100% higher than onsite conversion. As such, we want to ensure we keep leveraging this popin and its audience even during the pandemic. However, we will be shifting our focus to "Contact Us" to maintain a touch-free approach.</w:t>
      </w:r>
      <w:r w:rsidDel="00000000" w:rsidR="00000000" w:rsidRPr="00000000">
        <w:rPr>
          <w:rtl w:val="0"/>
        </w:rPr>
      </w:r>
    </w:p>
    <w:p w:rsidR="00000000" w:rsidDel="00000000" w:rsidP="00000000" w:rsidRDefault="00000000" w:rsidRPr="00000000" w14:paraId="00000009">
      <w:pPr>
        <w:tabs>
          <w:tab w:val="left" w:pos="0"/>
        </w:tabs>
        <w:spacing w:after="240" w:line="276"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A">
      <w:pPr>
        <w:spacing w:after="240" w:line="276" w:lineRule="auto"/>
        <w:rPr>
          <w:b w:val="0"/>
          <w:u w:val="none"/>
        </w:rPr>
      </w:pPr>
      <w:r w:rsidDel="00000000" w:rsidR="00000000" w:rsidRPr="00000000">
        <w:rPr>
          <w:b w:val="1"/>
          <w:u w:val="none"/>
          <w:rtl w:val="0"/>
        </w:rPr>
        <w:t xml:space="preserve">NOTE: </w:t>
      </w:r>
      <w:r w:rsidDel="00000000" w:rsidR="00000000" w:rsidRPr="00000000">
        <w:rPr>
          <w:b w:val="0"/>
          <w:u w:val="none"/>
          <w:rtl w:val="0"/>
        </w:rPr>
        <w:t xml:space="preserve">This activity does not run in Incognito.</w:t>
      </w:r>
    </w:p>
    <w:p w:rsidR="00000000" w:rsidDel="00000000" w:rsidP="00000000" w:rsidRDefault="00000000" w:rsidRPr="00000000" w14:paraId="0000000B">
      <w:pPr>
        <w:tabs>
          <w:tab w:val="left" w:pos="0"/>
        </w:tabs>
        <w:spacing w:after="240" w:line="276" w:lineRule="auto"/>
        <w:rPr/>
      </w:pPr>
      <w:r w:rsidDel="00000000" w:rsidR="00000000" w:rsidRPr="00000000">
        <w:rPr>
          <w:rtl w:val="0"/>
        </w:rPr>
        <w:t xml:space="preserve">View the BnP Start and Finish link. Click on the "Configurateur” link in the main heading. On the left there’s an option to pick "Voitures neuves” or “Utilitaires &amp; Pick-up” ~ Select vehicles from both sides.</w:t>
        <w:br w:type="textWrapping"/>
        <w:br w:type="textWrapping"/>
        <w:t xml:space="preserve">Next view the “Only on profile script true” link. After 10 seconds a popup should appear.</w:t>
      </w:r>
    </w:p>
    <w:p w:rsidR="00000000" w:rsidDel="00000000" w:rsidP="00000000" w:rsidRDefault="00000000" w:rsidRPr="00000000" w14:paraId="0000000C">
      <w:pPr>
        <w:tabs>
          <w:tab w:val="left" w:pos="0"/>
        </w:tabs>
        <w:spacing w:after="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tabs>
          <w:tab w:val="left" w:pos="0"/>
        </w:tabs>
        <w:spacing w:after="240" w:line="276" w:lineRule="auto"/>
        <w:rPr/>
      </w:pPr>
      <w:r w:rsidDel="00000000" w:rsidR="00000000" w:rsidRPr="00000000">
        <w:rPr>
          <w:rtl w:val="0"/>
        </w:rPr>
        <w:t xml:space="preserve">If the vehicle you viewed is from the “Voitures neuves” option and not a “Ranger” the popup that appears should look something like the below. </w:t>
      </w:r>
    </w:p>
    <w:p w:rsidR="00000000" w:rsidDel="00000000" w:rsidP="00000000" w:rsidRDefault="00000000" w:rsidRPr="00000000" w14:paraId="0000000E">
      <w:pPr>
        <w:spacing w:after="240" w:line="276" w:lineRule="auto"/>
        <w:rPr/>
      </w:pPr>
      <w:r w:rsidDel="00000000" w:rsidR="00000000" w:rsidRPr="00000000">
        <w:rPr/>
        <w:drawing>
          <wp:inline distB="0" distT="0" distL="114300" distR="114300">
            <wp:extent cx="4572000" cy="1933575"/>
            <wp:effectExtent b="0" l="0" r="0" t="0"/>
            <wp:docPr id="198284850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720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tabs>
          <w:tab w:val="left" w:pos="0"/>
        </w:tabs>
        <w:spacing w:after="240" w:line="276" w:lineRule="auto"/>
        <w:rPr>
          <w:b w:val="1"/>
          <w:u w:val="single"/>
        </w:rPr>
      </w:pPr>
      <w:r w:rsidDel="00000000" w:rsidR="00000000" w:rsidRPr="00000000">
        <w:rPr>
          <w:rtl w:val="0"/>
        </w:rPr>
        <w:t xml:space="preserve">When you click on the “**” or the “*” links a smaller popup should appear that looks like the below two images:</w:t>
      </w:r>
      <w:r w:rsidDel="00000000" w:rsidR="00000000" w:rsidRPr="00000000">
        <w:rPr>
          <w:rtl w:val="0"/>
        </w:rPr>
      </w:r>
    </w:p>
    <w:p w:rsidR="00000000" w:rsidDel="00000000" w:rsidP="00000000" w:rsidRDefault="00000000" w:rsidRPr="00000000" w14:paraId="00000010">
      <w:pPr>
        <w:spacing w:after="240" w:line="276" w:lineRule="auto"/>
        <w:rPr/>
      </w:pPr>
      <w:r w:rsidDel="00000000" w:rsidR="00000000" w:rsidRPr="00000000">
        <w:rPr/>
        <w:drawing>
          <wp:inline distB="0" distT="0" distL="114300" distR="114300">
            <wp:extent cx="4572000" cy="1876425"/>
            <wp:effectExtent b="0" l="0" r="0" t="0"/>
            <wp:docPr id="198284850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720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line="276" w:lineRule="auto"/>
        <w:rPr/>
      </w:pPr>
      <w:r w:rsidDel="00000000" w:rsidR="00000000" w:rsidRPr="00000000">
        <w:rPr/>
        <w:drawing>
          <wp:inline distB="0" distT="0" distL="114300" distR="114300">
            <wp:extent cx="4572000" cy="1914525"/>
            <wp:effectExtent b="0" l="0" r="0" t="0"/>
            <wp:docPr id="198284850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572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line="276" w:lineRule="auto"/>
        <w:rPr/>
      </w:pPr>
      <w:r w:rsidDel="00000000" w:rsidR="00000000" w:rsidRPr="00000000">
        <w:rPr>
          <w:rtl w:val="0"/>
        </w:rPr>
        <w:t xml:space="preserve">If the vehicle you viewed is a Ranger or from the “Utilitaires &amp; Pick-up" option, the popup should look like the below:</w:t>
      </w:r>
    </w:p>
    <w:p w:rsidR="00000000" w:rsidDel="00000000" w:rsidP="00000000" w:rsidRDefault="00000000" w:rsidRPr="00000000" w14:paraId="00000014">
      <w:pPr>
        <w:spacing w:after="240" w:line="276" w:lineRule="auto"/>
        <w:rPr/>
      </w:pPr>
      <w:r w:rsidDel="00000000" w:rsidR="00000000" w:rsidRPr="00000000">
        <w:rPr/>
        <w:drawing>
          <wp:inline distB="0" distT="0" distL="114300" distR="114300">
            <wp:extent cx="4572000" cy="2000250"/>
            <wp:effectExtent b="0" l="0" r="0" t="0"/>
            <wp:docPr id="198284850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2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line="276" w:lineRule="auto"/>
        <w:rPr>
          <w:b w:val="1"/>
          <w:u w:val="single"/>
        </w:rPr>
      </w:pPr>
      <w:r w:rsidDel="00000000" w:rsidR="00000000" w:rsidRPr="00000000">
        <w:rPr>
          <w:rtl w:val="0"/>
        </w:rPr>
        <w:t xml:space="preserve">When you click on the “*” link a smaller popup should appear that looks like the below:</w:t>
      </w:r>
      <w:r w:rsidDel="00000000" w:rsidR="00000000" w:rsidRPr="00000000">
        <w:rPr>
          <w:rtl w:val="0"/>
        </w:rPr>
      </w:r>
    </w:p>
    <w:p w:rsidR="00000000" w:rsidDel="00000000" w:rsidP="00000000" w:rsidRDefault="00000000" w:rsidRPr="00000000" w14:paraId="00000016">
      <w:pPr>
        <w:spacing w:after="240" w:line="276" w:lineRule="auto"/>
        <w:rPr/>
      </w:pPr>
      <w:r w:rsidDel="00000000" w:rsidR="00000000" w:rsidRPr="00000000">
        <w:rPr/>
        <w:drawing>
          <wp:inline distB="0" distT="0" distL="114300" distR="114300">
            <wp:extent cx="4572000" cy="2000250"/>
            <wp:effectExtent b="0" l="0" r="0" t="0"/>
            <wp:docPr id="198284850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720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All traffic</w:t>
      </w:r>
      <w:r w:rsidDel="00000000" w:rsidR="00000000" w:rsidRPr="00000000">
        <w:rPr>
          <w:rtl w:val="0"/>
        </w:rPr>
      </w:r>
    </w:p>
    <w:p w:rsidR="00000000" w:rsidDel="00000000" w:rsidP="00000000" w:rsidRDefault="00000000" w:rsidRPr="00000000" w14:paraId="00000018">
      <w:pPr>
        <w:spacing w:line="276" w:lineRule="auto"/>
        <w:rPr>
          <w:b w:val="1"/>
          <w:u w:val="single"/>
        </w:rPr>
      </w:pPr>
      <w:r w:rsidDel="00000000" w:rsidR="00000000" w:rsidRPr="00000000">
        <w:rPr>
          <w:b w:val="1"/>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9">
      <w:pPr>
        <w:spacing w:line="276" w:lineRule="auto"/>
        <w:rPr>
          <w:b w:val="1"/>
          <w:color w:val="000000"/>
          <w:u w:val="single"/>
        </w:rPr>
      </w:pPr>
      <w:r w:rsidDel="00000000" w:rsidR="00000000" w:rsidRPr="00000000">
        <w:rPr>
          <w:b w:val="1"/>
          <w:color w:val="000000"/>
          <w:u w:val="single"/>
          <w:rtl w:val="0"/>
        </w:rPr>
        <w:t xml:space="preserve">QA Links:</w:t>
      </w:r>
    </w:p>
    <w:p w:rsidR="00000000" w:rsidDel="00000000" w:rsidP="00000000" w:rsidRDefault="00000000" w:rsidRPr="00000000" w14:paraId="0000001A">
      <w:pPr>
        <w:spacing w:line="276" w:lineRule="auto"/>
        <w:rPr>
          <w:b w:val="0"/>
          <w:color w:val="000000"/>
          <w:u w:val="none"/>
        </w:rPr>
      </w:pPr>
      <w:r w:rsidDel="00000000" w:rsidR="00000000" w:rsidRPr="00000000">
        <w:rPr>
          <w:b w:val="0"/>
          <w:color w:val="000000"/>
          <w:u w:val="none"/>
          <w:rtl w:val="0"/>
        </w:rPr>
        <w:t xml:space="preserve">BnP Start and Finish:</w:t>
      </w:r>
    </w:p>
    <w:p w:rsidR="00000000" w:rsidDel="00000000" w:rsidP="00000000" w:rsidRDefault="00000000" w:rsidRPr="00000000" w14:paraId="0000001B">
      <w:pPr>
        <w:spacing w:line="276" w:lineRule="auto"/>
        <w:rPr/>
      </w:pPr>
      <w:hyperlink r:id="rId14">
        <w:r w:rsidDel="00000000" w:rsidR="00000000" w:rsidRPr="00000000">
          <w:rPr>
            <w:color w:val="1155cc"/>
            <w:u w:val="single"/>
            <w:rtl w:val="0"/>
          </w:rPr>
          <w:t xml:space="preserve">https://www.ford.fr/?at_preview_token=4OKkEAx05jMxuAOYW%2FF7Yg%3D%3D&amp;at_preview_index=1_1&amp;at_preview_listed_activities_only=true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Only on profile script true:</w:t>
      </w:r>
    </w:p>
    <w:p w:rsidR="00000000" w:rsidDel="00000000" w:rsidP="00000000" w:rsidRDefault="00000000" w:rsidRPr="00000000" w14:paraId="0000001E">
      <w:pPr>
        <w:spacing w:line="276" w:lineRule="auto"/>
        <w:rPr/>
      </w:pPr>
      <w:hyperlink r:id="rId15">
        <w:r w:rsidDel="00000000" w:rsidR="00000000" w:rsidRPr="00000000">
          <w:rPr>
            <w:color w:val="1155cc"/>
            <w:u w:val="single"/>
            <w:rtl w:val="0"/>
          </w:rPr>
          <w:t xml:space="preserve">https://www.ford.fr/?at_preview_token=4OKkEAx05jMxuAOYW%2FF7Yg%3D%3D&amp;at_preview_index=1_2&amp;at_preview_listed_activities_only=true</w:t>
        </w:r>
      </w:hyperlink>
      <w:r w:rsidDel="00000000" w:rsidR="00000000" w:rsidRPr="00000000">
        <w:rPr>
          <w:rtl w:val="0"/>
        </w:rPr>
        <w:t xml:space="preserve"> </w:t>
      </w:r>
    </w:p>
    <w:p w:rsidR="00000000" w:rsidDel="00000000" w:rsidP="00000000" w:rsidRDefault="00000000" w:rsidRPr="00000000" w14:paraId="0000001F">
      <w:pPr>
        <w:spacing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spacing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TDR Drive Link:</w:t>
      </w:r>
    </w:p>
    <w:p w:rsidR="00000000" w:rsidDel="00000000" w:rsidP="00000000" w:rsidRDefault="00000000" w:rsidRPr="00000000" w14:paraId="00000021">
      <w:pPr>
        <w:spacing w:line="276" w:lineRule="auto"/>
        <w:rPr/>
      </w:pPr>
      <w:hyperlink r:id="rId16">
        <w:r w:rsidDel="00000000" w:rsidR="00000000" w:rsidRPr="00000000">
          <w:rPr>
            <w:rFonts w:ascii="Calibri" w:cs="Calibri" w:eastAsia="Calibri" w:hAnsi="Calibri"/>
            <w:color w:val="0563c1"/>
            <w:sz w:val="24"/>
            <w:szCs w:val="24"/>
            <w:u w:val="single"/>
            <w:rtl w:val="0"/>
          </w:rPr>
          <w:t xml:space="preserve">https://www.ford.fr/achat/poursuivre-lexperience/demande-d-essai</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ford.fr/?at_preview_token=4OKkEAx05jMxuAOYW%2FF7Yg%3D%3D&amp;at_preview_index=1_2&amp;at_preview_listed_activities_only=true" TargetMode="External"/><Relationship Id="rId14" Type="http://schemas.openxmlformats.org/officeDocument/2006/relationships/hyperlink" Target="https://www.ford.fr/?at_preview_token=4OKkEAx05jMxuAOYW%2FF7Yg%3D%3D&amp;at_preview_index=1_1&amp;at_preview_listed_activities_only=true" TargetMode="External"/><Relationship Id="rId16" Type="http://schemas.openxmlformats.org/officeDocument/2006/relationships/hyperlink" Target="https://www.ford.fr/achat/poursuivre-lexperience/demande-d-essa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878" TargetMode="External"/><Relationship Id="rId8" Type="http://schemas.openxmlformats.org/officeDocument/2006/relationships/hyperlink" Target="https://www.ford.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dBwJ60EOmNuLLO5pjKVrJtgiig==">AMUW2mV6c1wMFRM3RHtkwgik6HZG3+C/uNeJ3ZWkFDq+GCRxJd30jWiuK9tLUsvjLBOK42J6FTCAPFVIWSGP+6l7YjKaWilxz3HYuSeqB2PZLsqmiYZLNEdC5p0LDzkXL9wYtS+HreEq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2020-02-10T12:54:00.0000000Z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