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pPr>
      <w:r w:rsidDel="00000000" w:rsidR="00000000" w:rsidRPr="00000000">
        <w:rPr>
          <w:sz w:val="48"/>
          <w:szCs w:val="48"/>
          <w:rtl w:val="0"/>
        </w:rPr>
        <w:t xml:space="preserve">GTB</w:t>
      </w:r>
      <w:r w:rsidDel="00000000" w:rsidR="00000000" w:rsidRPr="00000000">
        <w:rPr>
          <w:rtl w:val="0"/>
        </w:rPr>
        <w:br w:type="textWrapping"/>
        <w:br w:type="textWrapping"/>
      </w:r>
      <w:r w:rsidDel="00000000" w:rsidR="00000000" w:rsidRPr="00000000">
        <w:rPr>
          <w:b w:val="1"/>
          <w:sz w:val="36"/>
          <w:szCs w:val="36"/>
          <w:rtl w:val="0"/>
        </w:rPr>
        <w:t xml:space="preserve">QA</w:t>
      </w:r>
      <w:r w:rsidDel="00000000" w:rsidR="00000000" w:rsidRPr="00000000">
        <w:rPr>
          <w:rtl w:val="0"/>
        </w:rPr>
        <w:br w:type="textWrapping"/>
        <w:t xml:space="preserve"> [DEV 20.22] OT-884 | XT | PL | AS | TDR &amp; Find a Dealer Popin v1 – 05 June 2020</w:t>
      </w:r>
    </w:p>
    <w:p w:rsidR="00000000" w:rsidDel="00000000" w:rsidP="00000000" w:rsidRDefault="00000000" w:rsidRPr="00000000" w14:paraId="00000002">
      <w:pPr>
        <w:spacing w:line="276" w:lineRule="auto"/>
        <w:rPr>
          <w:sz w:val="32"/>
          <w:szCs w:val="32"/>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b w:val="1"/>
          <w:u w:val="single"/>
          <w:rtl w:val="0"/>
        </w:rPr>
        <w:t xml:space="preserve">Jira ticket:</w:t>
      </w:r>
      <w:r w:rsidDel="00000000" w:rsidR="00000000" w:rsidRPr="00000000">
        <w:rPr>
          <w:rtl w:val="0"/>
        </w:rPr>
        <w:br w:type="textWrapping"/>
      </w:r>
      <w:hyperlink r:id="rId7">
        <w:r w:rsidDel="00000000" w:rsidR="00000000" w:rsidRPr="00000000">
          <w:rPr>
            <w:color w:val="1155cc"/>
            <w:u w:val="single"/>
            <w:rtl w:val="0"/>
          </w:rPr>
          <w:t xml:space="preserve">https://jira.uhub.biz/browse/GTBEMEAOPT-884</w:t>
        </w:r>
      </w:hyperlink>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b w:val="1"/>
          <w:u w:val="single"/>
          <w:rtl w:val="0"/>
        </w:rPr>
        <w:t xml:space="preserve">Site</w:t>
      </w:r>
      <w:r w:rsidDel="00000000" w:rsidR="00000000" w:rsidRPr="00000000">
        <w:rPr>
          <w:rtl w:val="0"/>
        </w:rPr>
        <w:br w:type="textWrapping"/>
      </w:r>
      <w:hyperlink r:id="rId8">
        <w:r w:rsidDel="00000000" w:rsidR="00000000" w:rsidRPr="00000000">
          <w:rPr>
            <w:color w:val="1155cc"/>
            <w:u w:val="single"/>
            <w:rtl w:val="0"/>
          </w:rPr>
          <w:t xml:space="preserve">https://www.ford.pl/</w:t>
        </w:r>
      </w:hyperlink>
      <w:r w:rsidDel="00000000" w:rsidR="00000000" w:rsidRPr="00000000">
        <w:rPr>
          <w:rtl w:val="0"/>
        </w:rPr>
        <w:t xml:space="preserve"> </w:t>
      </w:r>
    </w:p>
    <w:p w:rsidR="00000000" w:rsidDel="00000000" w:rsidP="00000000" w:rsidRDefault="00000000" w:rsidRPr="00000000" w14:paraId="00000006">
      <w:pPr>
        <w:spacing w:line="276" w:lineRule="auto"/>
        <w:rPr>
          <w:color w:val="0563c1"/>
          <w:u w:val="single"/>
        </w:rPr>
      </w:pP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b w:val="1"/>
          <w:u w:val="single"/>
          <w:rtl w:val="0"/>
        </w:rPr>
        <w:t xml:space="preserve">Test location</w:t>
      </w:r>
      <w:r w:rsidDel="00000000" w:rsidR="00000000" w:rsidRPr="00000000">
        <w:rPr>
          <w:rtl w:val="0"/>
        </w:rPr>
        <w:br w:type="textWrapping"/>
        <w:t xml:space="preserve">Sitewide except BP, Find a Dealer &amp; TDR</w:t>
      </w:r>
      <w:r w:rsidDel="00000000" w:rsidR="00000000" w:rsidRPr="00000000">
        <w:rPr>
          <w:b w:val="1"/>
          <w:u w:val="single"/>
          <w:rtl w:val="0"/>
        </w:rPr>
        <w:br w:type="textWrapping"/>
      </w:r>
      <w:r w:rsidDel="00000000" w:rsidR="00000000" w:rsidRPr="00000000">
        <w:rPr>
          <w:rtl w:val="0"/>
        </w:rPr>
      </w:r>
    </w:p>
    <w:p w:rsidR="00000000" w:rsidDel="00000000" w:rsidP="00000000" w:rsidRDefault="00000000" w:rsidRPr="00000000" w14:paraId="00000008">
      <w:pPr>
        <w:spacing w:after="240" w:line="276" w:lineRule="auto"/>
        <w:rPr/>
      </w:pPr>
      <w:r w:rsidDel="00000000" w:rsidR="00000000" w:rsidRPr="00000000">
        <w:rPr>
          <w:b w:val="1"/>
          <w:u w:val="single"/>
          <w:rtl w:val="0"/>
        </w:rPr>
        <w:t xml:space="preserve">Hypothesis</w:t>
      </w:r>
      <w:r w:rsidDel="00000000" w:rsidR="00000000" w:rsidRPr="00000000">
        <w:rPr>
          <w:rtl w:val="0"/>
        </w:rPr>
        <w:br w:type="textWrapping"/>
        <w:t xml:space="preserve">Analysis on the TDR Popin and UC5 has shown that TDR Popin converts at a higher rate than UC5 for TDR Completes. We know that we can expect the conversion rate to be 100% higher than onsite conversion. As such, we want to ensure we keep leveraging this popin and its audience even during the pandemic. However, we will be shifting our focus to "Contact Us" to maintain a touch-free approach.</w:t>
      </w:r>
    </w:p>
    <w:p w:rsidR="00000000" w:rsidDel="00000000" w:rsidP="00000000" w:rsidRDefault="00000000" w:rsidRPr="00000000" w14:paraId="00000009">
      <w:pPr>
        <w:spacing w:after="240" w:line="276" w:lineRule="auto"/>
        <w:rPr/>
      </w:pPr>
      <w:r w:rsidDel="00000000" w:rsidR="00000000" w:rsidRPr="00000000">
        <w:rPr>
          <w:rtl w:val="0"/>
        </w:rPr>
      </w:r>
    </w:p>
    <w:p w:rsidR="00000000" w:rsidDel="00000000" w:rsidP="00000000" w:rsidRDefault="00000000" w:rsidRPr="00000000" w14:paraId="0000000A">
      <w:pPr>
        <w:tabs>
          <w:tab w:val="left" w:pos="0"/>
        </w:tabs>
        <w:spacing w:after="240" w:line="276" w:lineRule="auto"/>
        <w:rPr>
          <w:b w:val="1"/>
          <w:u w:val="single"/>
        </w:rPr>
      </w:pPr>
      <w:r w:rsidDel="00000000" w:rsidR="00000000" w:rsidRPr="00000000">
        <w:rPr>
          <w:b w:val="1"/>
          <w:u w:val="single"/>
          <w:rtl w:val="0"/>
        </w:rPr>
        <w:t xml:space="preserve">Test Description</w:t>
      </w:r>
    </w:p>
    <w:p w:rsidR="00000000" w:rsidDel="00000000" w:rsidP="00000000" w:rsidRDefault="00000000" w:rsidRPr="00000000" w14:paraId="0000000B">
      <w:pPr>
        <w:tabs>
          <w:tab w:val="left" w:pos="0"/>
        </w:tabs>
        <w:spacing w:after="240" w:line="276" w:lineRule="auto"/>
        <w:rPr/>
      </w:pPr>
      <w:r w:rsidDel="00000000" w:rsidR="00000000" w:rsidRPr="00000000">
        <w:rPr>
          <w:rtl w:val="0"/>
        </w:rPr>
        <w:t xml:space="preserve">View the “BnP Start and Finish” link. Click the “Konfigurator” link at the top of the page in the main header. On the next page select any vehicle by clicking on them.</w:t>
        <w:br w:type="textWrapping"/>
        <w:br w:type="textWrapping"/>
        <w:t xml:space="preserve">Once you’re done the above view the “Only on profile script true” link. A popup should’ve appeared after 10 seconds. This works for all vehicles. There are 2 buttons on the popup. The first is “Jazda próbna” which would link to </w:t>
      </w:r>
      <w:hyperlink r:id="rId9">
        <w:r w:rsidDel="00000000" w:rsidR="00000000" w:rsidRPr="00000000">
          <w:rPr>
            <w:color w:val="1155cc"/>
            <w:u w:val="single"/>
            <w:rtl w:val="0"/>
          </w:rPr>
          <w:t xml:space="preserve">https://www.ford.pl/oferta/dopasuj/jazda-probna</w:t>
        </w:r>
      </w:hyperlink>
      <w:r w:rsidDel="00000000" w:rsidR="00000000" w:rsidRPr="00000000">
        <w:rPr>
          <w:rtl w:val="0"/>
        </w:rPr>
        <w:t xml:space="preserve"> if the vehicle is available on the screen it’ll be ticked</w:t>
      </w:r>
      <w:r w:rsidDel="00000000" w:rsidR="00000000" w:rsidRPr="00000000">
        <w:rPr>
          <w:rtl w:val="0"/>
        </w:rPr>
        <w:t xml:space="preserve">. The second button is “Znajdź Dealera” which would link to </w:t>
      </w:r>
      <w:hyperlink r:id="rId10">
        <w:r w:rsidDel="00000000" w:rsidR="00000000" w:rsidRPr="00000000">
          <w:rPr>
            <w:color w:val="1155cc"/>
            <w:u w:val="single"/>
            <w:rtl w:val="0"/>
          </w:rPr>
          <w:t xml:space="preserve">https://www.ford.pl/znajdz-dealera</w:t>
        </w:r>
      </w:hyperlink>
      <w:r w:rsidDel="00000000" w:rsidR="00000000" w:rsidRPr="00000000">
        <w:rPr>
          <w:rtl w:val="0"/>
        </w:rPr>
        <w:t xml:space="preserve"> </w:t>
        <w:br w:type="textWrapping"/>
        <w:br w:type="textWrapping"/>
        <w:t xml:space="preserve">Based on whether it’s a commercial or non-commercial vehicle the popup looks slightly different. Some vehicles like the EcoSport have both an Offer Price and a Retail Price so they’d display 2 prices. Most vehicles have only 1 price. Some vehicles have no price, like the C-Max. See examples below.</w:t>
      </w:r>
    </w:p>
    <w:p w:rsidR="00000000" w:rsidDel="00000000" w:rsidP="00000000" w:rsidRDefault="00000000" w:rsidRPr="00000000" w14:paraId="0000000C">
      <w:pPr>
        <w:tabs>
          <w:tab w:val="left" w:pos="0"/>
        </w:tabs>
        <w:spacing w:after="240" w:line="276" w:lineRule="auto"/>
        <w:rPr/>
      </w:pPr>
      <w:r w:rsidDel="00000000" w:rsidR="00000000" w:rsidRPr="00000000">
        <w:rPr>
          <w:rtl w:val="0"/>
        </w:rPr>
        <w:t xml:space="preserve">Non-commercial vehicle with both offer and retail price:</w:t>
      </w:r>
      <w:r w:rsidDel="00000000" w:rsidR="00000000" w:rsidRPr="00000000">
        <w:rPr/>
        <w:drawing>
          <wp:inline distB="114300" distT="114300" distL="114300" distR="114300">
            <wp:extent cx="5734050" cy="2552700"/>
            <wp:effectExtent b="0" l="0" r="0" t="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405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tabs>
          <w:tab w:val="left" w:pos="0"/>
        </w:tabs>
        <w:spacing w:after="240" w:line="276" w:lineRule="auto"/>
        <w:rPr/>
      </w:pPr>
      <w:r w:rsidDel="00000000" w:rsidR="00000000" w:rsidRPr="00000000">
        <w:rPr>
          <w:rtl w:val="0"/>
        </w:rPr>
        <w:t xml:space="preserve">1 popup on above image:</w:t>
      </w:r>
      <w:r w:rsidDel="00000000" w:rsidR="00000000" w:rsidRPr="00000000">
        <w:rPr/>
        <w:drawing>
          <wp:inline distB="114300" distT="114300" distL="114300" distR="114300">
            <wp:extent cx="5734050" cy="243840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40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tabs>
          <w:tab w:val="left" w:pos="0"/>
        </w:tabs>
        <w:spacing w:after="240" w:line="276" w:lineRule="auto"/>
        <w:ind w:left="0" w:firstLine="0"/>
        <w:rPr/>
      </w:pPr>
      <w:r w:rsidDel="00000000" w:rsidR="00000000" w:rsidRPr="00000000">
        <w:rPr>
          <w:rtl w:val="0"/>
        </w:rPr>
        <w:t xml:space="preserve">* popup on above image: </w:t>
      </w:r>
      <w:r w:rsidDel="00000000" w:rsidR="00000000" w:rsidRPr="00000000">
        <w:rPr/>
        <w:drawing>
          <wp:inline distB="114300" distT="114300" distL="114300" distR="114300">
            <wp:extent cx="5734050" cy="222250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405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tabs>
          <w:tab w:val="left" w:pos="0"/>
        </w:tabs>
        <w:spacing w:after="240" w:line="276" w:lineRule="auto"/>
        <w:ind w:left="0" w:firstLine="0"/>
        <w:rPr/>
      </w:pPr>
      <w:r w:rsidDel="00000000" w:rsidR="00000000" w:rsidRPr="00000000">
        <w:rPr>
          <w:rtl w:val="0"/>
        </w:rPr>
        <w:t xml:space="preserve">Non-commercial vehicle with only retail price:</w:t>
      </w:r>
      <w:r w:rsidDel="00000000" w:rsidR="00000000" w:rsidRPr="00000000">
        <w:rPr/>
        <w:drawing>
          <wp:inline distB="114300" distT="114300" distL="114300" distR="114300">
            <wp:extent cx="5734050" cy="2413000"/>
            <wp:effectExtent b="0" l="0" r="0" t="0"/>
            <wp:docPr id="1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405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tabs>
          <w:tab w:val="left" w:pos="0"/>
        </w:tabs>
        <w:spacing w:after="240" w:line="276" w:lineRule="auto"/>
        <w:ind w:left="0" w:firstLine="0"/>
        <w:rPr/>
      </w:pPr>
      <w:r w:rsidDel="00000000" w:rsidR="00000000" w:rsidRPr="00000000">
        <w:rPr>
          <w:rtl w:val="0"/>
        </w:rPr>
        <w:t xml:space="preserve">* popup on above image:</w:t>
      </w:r>
      <w:r w:rsidDel="00000000" w:rsidR="00000000" w:rsidRPr="00000000">
        <w:rPr/>
        <w:drawing>
          <wp:inline distB="114300" distT="114300" distL="114300" distR="114300">
            <wp:extent cx="5734050" cy="2273300"/>
            <wp:effectExtent b="0" l="0" r="0" t="0"/>
            <wp:docPr id="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405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tabs>
          <w:tab w:val="left" w:pos="0"/>
        </w:tabs>
        <w:spacing w:after="240" w:line="276" w:lineRule="auto"/>
        <w:ind w:left="0" w:firstLine="0"/>
        <w:rPr/>
      </w:pPr>
      <w:r w:rsidDel="00000000" w:rsidR="00000000" w:rsidRPr="00000000">
        <w:rPr>
          <w:rtl w:val="0"/>
        </w:rPr>
        <w:t xml:space="preserve">Commercial vehicle with only 1 price:</w:t>
      </w:r>
      <w:r w:rsidDel="00000000" w:rsidR="00000000" w:rsidRPr="00000000">
        <w:rPr/>
        <w:drawing>
          <wp:inline distB="114300" distT="114300" distL="114300" distR="114300">
            <wp:extent cx="5734050" cy="2819400"/>
            <wp:effectExtent b="0" l="0" r="0" t="0"/>
            <wp:docPr id="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40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tabs>
          <w:tab w:val="left" w:pos="0"/>
        </w:tabs>
        <w:spacing w:after="240" w:line="276" w:lineRule="auto"/>
        <w:ind w:left="0" w:firstLine="0"/>
        <w:rPr/>
      </w:pPr>
      <w:r w:rsidDel="00000000" w:rsidR="00000000" w:rsidRPr="00000000">
        <w:rPr>
          <w:rtl w:val="0"/>
        </w:rPr>
        <w:t xml:space="preserve">* popup from above image:</w:t>
      </w:r>
      <w:r w:rsidDel="00000000" w:rsidR="00000000" w:rsidRPr="00000000">
        <w:rPr/>
        <w:drawing>
          <wp:inline distB="114300" distT="114300" distL="114300" distR="114300">
            <wp:extent cx="5734050" cy="2590800"/>
            <wp:effectExtent b="0" l="0" r="0" t="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40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tabs>
          <w:tab w:val="left" w:pos="0"/>
        </w:tabs>
        <w:spacing w:after="240" w:line="276" w:lineRule="auto"/>
        <w:ind w:left="0" w:firstLine="0"/>
        <w:rPr/>
      </w:pPr>
      <w:r w:rsidDel="00000000" w:rsidR="00000000" w:rsidRPr="00000000">
        <w:rPr>
          <w:rtl w:val="0"/>
        </w:rPr>
        <w:t xml:space="preserve">A vehicle with no price: </w:t>
      </w:r>
      <w:r w:rsidDel="00000000" w:rsidR="00000000" w:rsidRPr="00000000">
        <w:rPr/>
        <w:drawing>
          <wp:inline distB="114300" distT="114300" distL="114300" distR="114300">
            <wp:extent cx="5734050" cy="2387600"/>
            <wp:effectExtent b="0" l="0" r="0" t="0"/>
            <wp:docPr id="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405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tabs>
          <w:tab w:val="left" w:pos="0"/>
        </w:tabs>
        <w:spacing w:after="240" w:line="276" w:lineRule="auto"/>
        <w:rPr/>
      </w:pPr>
      <w:r w:rsidDel="00000000" w:rsidR="00000000" w:rsidRPr="00000000">
        <w:rPr>
          <w:rtl w:val="0"/>
        </w:rPr>
        <w:tab/>
        <w:tab/>
        <w:tab/>
        <w:br w:type="textWrapping"/>
      </w:r>
      <w:r w:rsidDel="00000000" w:rsidR="00000000" w:rsidRPr="00000000">
        <w:rPr>
          <w:b w:val="1"/>
          <w:u w:val="single"/>
          <w:rtl w:val="0"/>
        </w:rPr>
        <w:t xml:space="preserve">Browser:</w:t>
      </w:r>
      <w:r w:rsidDel="00000000" w:rsidR="00000000" w:rsidRPr="00000000">
        <w:rPr>
          <w:rtl w:val="0"/>
        </w:rPr>
        <w:t xml:space="preserve"> </w:t>
        <w:br w:type="textWrapping"/>
        <w:t xml:space="preserve">All</w:t>
        <w:br w:type="textWrapping"/>
        <w:br w:type="textWrapping"/>
      </w:r>
      <w:r w:rsidDel="00000000" w:rsidR="00000000" w:rsidRPr="00000000">
        <w:rPr>
          <w:b w:val="1"/>
          <w:u w:val="single"/>
          <w:rtl w:val="0"/>
        </w:rPr>
        <w:t xml:space="preserve">Device:</w:t>
      </w:r>
      <w:r w:rsidDel="00000000" w:rsidR="00000000" w:rsidRPr="00000000">
        <w:rPr>
          <w:rtl w:val="0"/>
        </w:rPr>
        <w:t xml:space="preserve"> </w:t>
        <w:br w:type="textWrapping"/>
        <w:t xml:space="preserve">All</w:t>
        <w:br w:type="textWrapping"/>
        <w:br w:type="textWrapping"/>
      </w:r>
      <w:r w:rsidDel="00000000" w:rsidR="00000000" w:rsidRPr="00000000">
        <w:rPr>
          <w:b w:val="1"/>
          <w:u w:val="single"/>
          <w:rtl w:val="0"/>
        </w:rPr>
        <w:t xml:space="preserve">Audience rules:</w:t>
      </w:r>
      <w:r w:rsidDel="00000000" w:rsidR="00000000" w:rsidRPr="00000000">
        <w:rPr>
          <w:rtl w:val="0"/>
        </w:rPr>
        <w:t xml:space="preserve"> </w:t>
        <w:br w:type="textWrapping"/>
      </w:r>
      <w:r w:rsidDel="00000000" w:rsidR="00000000" w:rsidRPr="00000000">
        <w:rPr>
          <w:rFonts w:ascii="Calibri" w:cs="Calibri" w:eastAsia="Calibri" w:hAnsi="Calibri"/>
          <w:rtl w:val="0"/>
        </w:rPr>
        <w:t xml:space="preserve">All traffic</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15">
      <w:pPr>
        <w:tabs>
          <w:tab w:val="left" w:pos="0"/>
        </w:tabs>
        <w:spacing w:after="240" w:line="276" w:lineRule="auto"/>
        <w:rPr>
          <w:b w:val="1"/>
          <w:color w:val="000000"/>
          <w:u w:val="single"/>
        </w:rPr>
      </w:pPr>
      <w:r w:rsidDel="00000000" w:rsidR="00000000" w:rsidRPr="00000000">
        <w:rPr>
          <w:b w:val="1"/>
          <w:color w:val="000000"/>
          <w:u w:val="single"/>
          <w:rtl w:val="0"/>
        </w:rPr>
        <w:t xml:space="preserve">QA Links:</w:t>
      </w:r>
    </w:p>
    <w:p w:rsidR="00000000" w:rsidDel="00000000" w:rsidP="00000000" w:rsidRDefault="00000000" w:rsidRPr="00000000" w14:paraId="00000016">
      <w:pPr>
        <w:rPr>
          <w:b w:val="1"/>
        </w:rPr>
      </w:pPr>
      <w:r w:rsidDel="00000000" w:rsidR="00000000" w:rsidRPr="00000000">
        <w:rPr>
          <w:b w:val="1"/>
          <w:color w:val="000000"/>
          <w:u w:val="single"/>
          <w:rtl w:val="0"/>
        </w:rPr>
        <w:t xml:space="preserve">BnP Start and Finish</w:t>
      </w:r>
      <w:r w:rsidDel="00000000" w:rsidR="00000000" w:rsidRPr="00000000">
        <w:rPr>
          <w:rtl w:val="0"/>
        </w:rPr>
      </w:r>
    </w:p>
    <w:p w:rsidR="00000000" w:rsidDel="00000000" w:rsidP="00000000" w:rsidRDefault="00000000" w:rsidRPr="00000000" w14:paraId="00000017">
      <w:pPr>
        <w:rPr/>
      </w:pPr>
      <w:hyperlink r:id="rId19">
        <w:r w:rsidDel="00000000" w:rsidR="00000000" w:rsidRPr="00000000">
          <w:rPr>
            <w:color w:val="1155cc"/>
            <w:u w:val="single"/>
            <w:rtl w:val="0"/>
          </w:rPr>
          <w:t xml:space="preserve">https://www.ford.pl?at_preview_token=UERlGec3uFk46XPb1TZbzQ%3D%3D&amp;at_preview_index=1_1&amp;at_preview_listed_activities_only=true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u w:val="single"/>
        </w:rPr>
      </w:pPr>
      <w:r w:rsidDel="00000000" w:rsidR="00000000" w:rsidRPr="00000000">
        <w:rPr>
          <w:b w:val="1"/>
          <w:u w:val="single"/>
          <w:rtl w:val="0"/>
        </w:rPr>
        <w:t xml:space="preserve">Only on profile script true</w:t>
      </w:r>
    </w:p>
    <w:p w:rsidR="00000000" w:rsidDel="00000000" w:rsidP="00000000" w:rsidRDefault="00000000" w:rsidRPr="00000000" w14:paraId="0000001A">
      <w:pPr>
        <w:rPr/>
      </w:pPr>
      <w:hyperlink r:id="rId20">
        <w:r w:rsidDel="00000000" w:rsidR="00000000" w:rsidRPr="00000000">
          <w:rPr>
            <w:color w:val="1155cc"/>
            <w:u w:val="single"/>
            <w:rtl w:val="0"/>
          </w:rPr>
          <w:t xml:space="preserve">https://www.ford.pl?at_preview_token=UERlGec3uFk46XPb1TZbzQ%3D%3D&amp;at_preview_index=1_2&amp;at_preview_listed_activities_only=true</w:t>
        </w:r>
      </w:hyperlink>
      <w:r w:rsidDel="00000000" w:rsidR="00000000" w:rsidRPr="00000000">
        <w:rPr>
          <w:rtl w:val="0"/>
        </w:rPr>
        <w:t xml:space="preserve"> </w:t>
      </w:r>
    </w:p>
    <w:p w:rsidR="00000000" w:rsidDel="00000000" w:rsidP="00000000" w:rsidRDefault="00000000" w:rsidRPr="00000000" w14:paraId="0000001B">
      <w:pPr>
        <w:rPr/>
      </w:pPr>
      <w:bookmarkStart w:colFirst="0" w:colLast="0" w:name="_heading=h.gjdgxs" w:id="0"/>
      <w:bookmarkEnd w:id="0"/>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rFonts w:ascii="Calibri" w:cs="Calibri" w:eastAsia="Calibri" w:hAnsi="Calibri"/>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563c1"/>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563c1"/>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563c1"/>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21">
      <w:pPr>
        <w:spacing w:line="276" w:lineRule="auto"/>
        <w:rPr/>
      </w:pPr>
      <w:r w:rsidDel="00000000" w:rsidR="00000000" w:rsidRPr="00000000">
        <w:rPr>
          <w:rtl w:val="0"/>
        </w:rPr>
      </w:r>
    </w:p>
    <w:p w:rsidR="00000000" w:rsidDel="00000000" w:rsidP="00000000" w:rsidRDefault="00000000" w:rsidRPr="00000000" w14:paraId="00000022">
      <w:pPr>
        <w:spacing w:line="276" w:lineRule="auto"/>
        <w:rPr/>
      </w:pPr>
      <w:r w:rsidDel="00000000" w:rsidR="00000000" w:rsidRPr="00000000">
        <w:rPr>
          <w:rtl w:val="0"/>
        </w:rPr>
      </w:r>
    </w:p>
    <w:sectPr>
      <w:pgSz w:h="16838" w:w="11906"/>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Z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sz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InternetLink" w:customStyle="1">
    <w:name w:val="Internet Link"/>
    <w:basedOn w:val="DefaultParagraphFont"/>
    <w:uiPriority w:val="99"/>
    <w:unhideWhenUsed w:val="1"/>
    <w:rsid w:val="00D756CC"/>
    <w:rPr>
      <w:color w:val="0563c1"/>
      <w:u w:val="single"/>
    </w:rPr>
  </w:style>
  <w:style w:type="character" w:styleId="UnresolvedMention">
    <w:name w:val="Unresolved Mention"/>
    <w:basedOn w:val="DefaultParagraphFont"/>
    <w:uiPriority w:val="99"/>
    <w:semiHidden w:val="1"/>
    <w:unhideWhenUsed w:val="1"/>
    <w:qFormat w:val="1"/>
    <w:rsid w:val="0028067D"/>
    <w:rPr>
      <w:color w:val="605e5c"/>
      <w:shd w:color="auto" w:fill="e1dfdd" w:val="clear"/>
    </w:rPr>
  </w:style>
  <w:style w:type="character" w:styleId="FollowedHyperlink">
    <w:name w:val="FollowedHyperlink"/>
    <w:basedOn w:val="DefaultParagraphFont"/>
    <w:uiPriority w:val="99"/>
    <w:semiHidden w:val="1"/>
    <w:unhideWhenUsed w:val="1"/>
    <w:qFormat w:val="1"/>
    <w:rsid w:val="004849B0"/>
    <w:rPr>
      <w:color w:val="954f72" w:themeColor="followedHyperlink"/>
      <w:u w:val="single"/>
    </w:rPr>
  </w:style>
  <w:style w:type="character" w:styleId="StrongEmphasis" w:customStyle="1">
    <w:name w:val="Strong Emphasis"/>
    <w:qFormat w:val="1"/>
    <w:rPr>
      <w:b w:val="1"/>
      <w:bCs w:val="1"/>
    </w:rPr>
  </w:style>
  <w:style w:type="character" w:styleId="ListLabel1" w:customStyle="1">
    <w:name w:val="ListLabel 1"/>
    <w:qFormat w:val="1"/>
    <w:rPr>
      <w:u w:val="single"/>
    </w:rPr>
  </w:style>
  <w:style w:type="character" w:styleId="ListLabel2" w:customStyle="1">
    <w:name w:val="ListLabel 2"/>
    <w:qFormat w:val="1"/>
  </w:style>
  <w:style w:type="character" w:styleId="ListLabel3" w:customStyle="1">
    <w:name w:val="ListLabel 3"/>
    <w:qFormat w:val="1"/>
    <w:rPr>
      <w:u w:val="single"/>
    </w:rPr>
  </w:style>
  <w:style w:type="character" w:styleId="ListLabel4" w:customStyle="1">
    <w:name w:val="ListLabel 4"/>
    <w:qFormat w:val="1"/>
  </w:style>
  <w:style w:type="character" w:styleId="ListLabel5" w:customStyle="1">
    <w:name w:val="ListLabel 5"/>
    <w:qFormat w:val="1"/>
    <w:rPr>
      <w:u w:val="single"/>
    </w:rPr>
  </w:style>
  <w:style w:type="character" w:styleId="ListLabel6" w:customStyle="1">
    <w:name w:val="ListLabel 6"/>
    <w:qFormat w:val="1"/>
  </w:style>
  <w:style w:type="character" w:styleId="ListLabel7" w:customStyle="1">
    <w:name w:val="ListLabel 7"/>
    <w:qFormat w:val="1"/>
    <w:rPr>
      <w:u w:val="single"/>
    </w:rPr>
  </w:style>
  <w:style w:type="character" w:styleId="ListLabel8" w:customStyle="1">
    <w:name w:val="ListLabel 8"/>
    <w:qFormat w:val="1"/>
  </w:style>
  <w:style w:type="character" w:styleId="ListLabel9" w:customStyle="1">
    <w:name w:val="ListLabel 9"/>
    <w:qFormat w:val="1"/>
    <w:rPr>
      <w:b w:val="1"/>
    </w:rPr>
  </w:style>
  <w:style w:type="character" w:styleId="ListLabel10" w:customStyle="1">
    <w:name w:val="ListLabel 10"/>
    <w:qFormat w:val="1"/>
    <w:rPr>
      <w:u w:val="single"/>
    </w:rPr>
  </w:style>
  <w:style w:type="character" w:styleId="ListLabel11" w:customStyle="1">
    <w:name w:val="ListLabel 11"/>
    <w:qFormat w:val="1"/>
  </w:style>
  <w:style w:type="character" w:styleId="ListLabel12" w:customStyle="1">
    <w:name w:val="ListLabel 12"/>
    <w:qFormat w:val="1"/>
    <w:rPr>
      <w:b w:val="1"/>
      <w:color w:val="000000"/>
      <w:u w:val="none"/>
    </w:rPr>
  </w:style>
  <w:style w:type="character" w:styleId="ListLabel13" w:customStyle="1">
    <w:name w:val="ListLabel 13"/>
    <w:qFormat w:val="1"/>
    <w:rPr>
      <w:u w:val="single"/>
    </w:rPr>
  </w:style>
  <w:style w:type="character" w:styleId="ListLabel14" w:customStyle="1">
    <w:name w:val="ListLabel 14"/>
    <w:qFormat w:val="1"/>
  </w:style>
  <w:style w:type="character" w:styleId="ListLabel15" w:customStyle="1">
    <w:name w:val="ListLabel 15"/>
    <w:qFormat w:val="1"/>
    <w:rPr>
      <w:b w:val="1"/>
    </w:rPr>
  </w:style>
  <w:style w:type="character" w:styleId="ListLabel16" w:customStyle="1">
    <w:name w:val="ListLabel 16"/>
    <w:qFormat w:val="1"/>
    <w:rPr>
      <w:u w:val="single"/>
    </w:rPr>
  </w:style>
  <w:style w:type="character" w:styleId="ListLabel17" w:customStyle="1">
    <w:name w:val="ListLabel 17"/>
    <w:qFormat w:val="1"/>
    <w:rPr>
      <w:b w:val="1"/>
      <w:color w:val="000000"/>
      <w:u w:val="none"/>
    </w:rPr>
  </w:style>
  <w:style w:type="character" w:styleId="ListLabel18" w:customStyle="1">
    <w:name w:val="ListLabel 18"/>
    <w:qFormat w:val="1"/>
  </w:style>
  <w:style w:type="character" w:styleId="Bullets" w:customStyle="1">
    <w:name w:val="Bullets"/>
    <w:qFormat w:val="1"/>
    <w:rPr>
      <w:rFonts w:ascii="OpenSymbol" w:cs="OpenSymbol" w:eastAsia="OpenSymbol" w:hAnsi="OpenSymbol"/>
    </w:rPr>
  </w:style>
  <w:style w:type="character" w:styleId="ListLabel19" w:customStyle="1">
    <w:name w:val="ListLabel 19"/>
    <w:qFormat w:val="1"/>
  </w:style>
  <w:style w:type="character" w:styleId="ListLabel20" w:customStyle="1">
    <w:name w:val="ListLabel 20"/>
    <w:qFormat w:val="1"/>
  </w:style>
  <w:style w:type="character" w:styleId="ListLabel21" w:customStyle="1">
    <w:name w:val="ListLabel 21"/>
    <w:qFormat w:val="1"/>
  </w:style>
  <w:style w:type="character" w:styleId="ListLabel22" w:customStyle="1">
    <w:name w:val="ListLabel 22"/>
    <w:qFormat w:val="1"/>
  </w:style>
  <w:style w:type="character" w:styleId="ins" w:customStyle="1">
    <w:name w:val="ins"/>
    <w:qFormat w:val="1"/>
  </w:style>
  <w:style w:type="character" w:styleId="Emphasis">
    <w:name w:val="Emphasis"/>
    <w:qFormat w:val="1"/>
    <w:rPr>
      <w:i w:val="1"/>
      <w:iCs w:val="1"/>
    </w:rPr>
  </w:style>
  <w:style w:type="character" w:styleId="ListLabel23" w:customStyle="1">
    <w:name w:val="ListLabel 23"/>
    <w:qFormat w:val="1"/>
    <w:rPr>
      <w:rFonts w:cs="OpenSymbol"/>
    </w:rPr>
  </w:style>
  <w:style w:type="character" w:styleId="ListLabel24" w:customStyle="1">
    <w:name w:val="ListLabel 24"/>
    <w:qFormat w:val="1"/>
    <w:rPr>
      <w:rFonts w:cs="OpenSymbol"/>
    </w:rPr>
  </w:style>
  <w:style w:type="character" w:styleId="ListLabel25" w:customStyle="1">
    <w:name w:val="ListLabel 25"/>
    <w:qFormat w:val="1"/>
    <w:rPr>
      <w:rFonts w:cs="OpenSymbol"/>
    </w:rPr>
  </w:style>
  <w:style w:type="character" w:styleId="ListLabel26" w:customStyle="1">
    <w:name w:val="ListLabel 26"/>
    <w:qFormat w:val="1"/>
    <w:rPr>
      <w:rFonts w:cs="OpenSymbol"/>
    </w:rPr>
  </w:style>
  <w:style w:type="character" w:styleId="ListLabel27" w:customStyle="1">
    <w:name w:val="ListLabel 27"/>
    <w:qFormat w:val="1"/>
    <w:rPr>
      <w:rFonts w:cs="OpenSymbol"/>
    </w:rPr>
  </w:style>
  <w:style w:type="character" w:styleId="ListLabel28" w:customStyle="1">
    <w:name w:val="ListLabel 28"/>
    <w:qFormat w:val="1"/>
    <w:rPr>
      <w:rFonts w:cs="OpenSymbol"/>
    </w:rPr>
  </w:style>
  <w:style w:type="character" w:styleId="ListLabel29" w:customStyle="1">
    <w:name w:val="ListLabel 29"/>
    <w:qFormat w:val="1"/>
    <w:rPr>
      <w:rFonts w:cs="OpenSymbol"/>
    </w:rPr>
  </w:style>
  <w:style w:type="character" w:styleId="ListLabel30" w:customStyle="1">
    <w:name w:val="ListLabel 30"/>
    <w:qFormat w:val="1"/>
    <w:rPr>
      <w:rFonts w:cs="OpenSymbol"/>
    </w:rPr>
  </w:style>
  <w:style w:type="character" w:styleId="ListLabel31" w:customStyle="1">
    <w:name w:val="ListLabel 31"/>
    <w:qFormat w:val="1"/>
    <w:rPr>
      <w:rFonts w:cs="OpenSymbol"/>
    </w:rPr>
  </w:style>
  <w:style w:type="character" w:styleId="ListLabel32" w:customStyle="1">
    <w:name w:val="ListLabel 32"/>
    <w:qFormat w:val="1"/>
  </w:style>
  <w:style w:type="character" w:styleId="ListLabel33" w:customStyle="1">
    <w:name w:val="ListLabel 33"/>
    <w:qFormat w:val="1"/>
    <w:rPr>
      <w:rFonts w:cs="OpenSymbol"/>
    </w:rPr>
  </w:style>
  <w:style w:type="character" w:styleId="ListLabel34" w:customStyle="1">
    <w:name w:val="ListLabel 34"/>
    <w:qFormat w:val="1"/>
    <w:rPr>
      <w:rFonts w:cs="OpenSymbol"/>
    </w:rPr>
  </w:style>
  <w:style w:type="character" w:styleId="ListLabel35" w:customStyle="1">
    <w:name w:val="ListLabel 35"/>
    <w:qFormat w:val="1"/>
    <w:rPr>
      <w:rFonts w:cs="OpenSymbol"/>
    </w:rPr>
  </w:style>
  <w:style w:type="character" w:styleId="ListLabel36" w:customStyle="1">
    <w:name w:val="ListLabel 36"/>
    <w:qFormat w:val="1"/>
    <w:rPr>
      <w:rFonts w:cs="OpenSymbol"/>
    </w:rPr>
  </w:style>
  <w:style w:type="character" w:styleId="ListLabel37" w:customStyle="1">
    <w:name w:val="ListLabel 37"/>
    <w:qFormat w:val="1"/>
    <w:rPr>
      <w:rFonts w:cs="OpenSymbol"/>
    </w:rPr>
  </w:style>
  <w:style w:type="character" w:styleId="ListLabel38" w:customStyle="1">
    <w:name w:val="ListLabel 38"/>
    <w:qFormat w:val="1"/>
    <w:rPr>
      <w:rFonts w:cs="OpenSymbol"/>
    </w:rPr>
  </w:style>
  <w:style w:type="character" w:styleId="ListLabel39" w:customStyle="1">
    <w:name w:val="ListLabel 39"/>
    <w:qFormat w:val="1"/>
    <w:rPr>
      <w:rFonts w:cs="OpenSymbol"/>
    </w:rPr>
  </w:style>
  <w:style w:type="character" w:styleId="ListLabel40" w:customStyle="1">
    <w:name w:val="ListLabel 40"/>
    <w:qFormat w:val="1"/>
    <w:rPr>
      <w:rFonts w:cs="OpenSymbol"/>
    </w:rPr>
  </w:style>
  <w:style w:type="character" w:styleId="ListLabel41" w:customStyle="1">
    <w:name w:val="ListLabel 41"/>
    <w:qFormat w:val="1"/>
    <w:rPr>
      <w:rFonts w:cs="OpenSymbol"/>
    </w:rPr>
  </w:style>
  <w:style w:type="character" w:styleId="ListLabel42" w:customStyle="1">
    <w:name w:val="ListLabel 42"/>
    <w:qFormat w:val="1"/>
  </w:style>
  <w:style w:type="paragraph" w:styleId="Heading" w:customStyle="1">
    <w:name w:val="Heading"/>
    <w:basedOn w:val="Normal"/>
    <w:next w:val="BodyText"/>
    <w:qFormat w:val="1"/>
    <w:pPr>
      <w:keepNext w:val="1"/>
      <w:spacing w:after="120" w:before="240"/>
    </w:pPr>
    <w:rPr>
      <w:rFonts w:ascii="Liberation Sans" w:cs="Lohit Devanagari"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val="1"/>
    <w:pPr>
      <w:suppressLineNumbers w:val="1"/>
      <w:spacing w:after="120" w:before="120"/>
    </w:pPr>
    <w:rPr>
      <w:rFonts w:cs="Lohit Devanagari"/>
      <w:i w:val="1"/>
      <w:iCs w:val="1"/>
    </w:rPr>
  </w:style>
  <w:style w:type="paragraph" w:styleId="Index" w:customStyle="1">
    <w:name w:val="Index"/>
    <w:basedOn w:val="Normal"/>
    <w:qFormat w:val="1"/>
    <w:pPr>
      <w:suppressLineNumbers w:val="1"/>
    </w:pPr>
    <w:rPr>
      <w:rFonts w:cs="Lohit Devanagari"/>
    </w:rPr>
  </w:style>
  <w:style w:type="paragraph" w:styleId="ListParagraph">
    <w:name w:val="List Paragraph"/>
    <w:basedOn w:val="Normal"/>
    <w:uiPriority w:val="34"/>
    <w:qFormat w:val="1"/>
    <w:rsid w:val="00D756CC"/>
    <w:pPr>
      <w:ind w:left="720"/>
    </w:pPr>
    <w:rPr>
      <w:rFonts w:ascii="Calibri" w:cs="Calibri" w:hAnsi="Calibri"/>
      <w:lang w:eastAsia="en-ZA"/>
    </w:rPr>
  </w:style>
  <w:style w:type="character" w:styleId="Hyperlink">
    <w:name w:val="Hyperlink"/>
    <w:basedOn w:val="DefaultParagraphFont"/>
    <w:uiPriority w:val="99"/>
    <w:unhideWhenUsed w:val="1"/>
    <w:rPr>
      <w:color w:val="0563c1" w:themeColor="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ford.pl?at_preview_token=UERlGec3uFk46XPb1TZbzQ%3D%3D&amp;at_preview_index=1_2&amp;at_preview_listed_activities_only=true" TargetMode="External"/><Relationship Id="rId11" Type="http://schemas.openxmlformats.org/officeDocument/2006/relationships/image" Target="media/image6.png"/><Relationship Id="rId10" Type="http://schemas.openxmlformats.org/officeDocument/2006/relationships/hyperlink" Target="https://www.ford.pl/znajdz-dealera" TargetMode="External"/><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ord.pl/oferta/dopasuj/jazda-probna" TargetMode="External"/><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image" Target="media/image7.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yperlink" Target="https://www.ford.pl?at_preview_token=UERlGec3uFk46XPb1TZbzQ%3D%3D&amp;at_preview_index=1_1&amp;at_preview_listed_activities_only=true" TargetMode="External"/><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hyperlink" Target="https://jira.uhub.biz/browse/GTBEMEAOPT-884" TargetMode="External"/><Relationship Id="rId8" Type="http://schemas.openxmlformats.org/officeDocument/2006/relationships/hyperlink" Target="https://www.ford.p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NpiArdKF0yWRMA7+AFTMIqBpNA==">AMUW2mXXe/ZYYdVE/RZVrW8vQSsK9z8x+n6l1yZa1V4TKWCwZpK95/GqcXyNpd/UESXL7/NgVJtWApXHTaO3VUtKPS75sbDhh0ZDVG7vpyB+MM9lu4ELodPRPXp77AP+orzCiIMzcXF1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2020-02-10T12:54:00Z</dcterms:created>
  <dc:creator>Friedman, Janine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