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20.22] OT-842 | XT | NL | AS | Find a Dealer Popin v1 – 08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https://jira.uhub.biz/browse/GTBEMEAOPT-887</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https://www.ford.nl/</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 and </w:t>
      </w:r>
      <w:r w:rsidDel="00000000" w:rsidR="00000000" w:rsidRPr="00000000">
        <w:rPr>
          <w:rtl w:val="0"/>
        </w:rPr>
        <w:t xml:space="preserve">Send to Dealer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“Samenstellen”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This works for all vehicles. The link on the button should always take you to </w:t>
      </w:r>
      <w:hyperlink r:id="rId9">
        <w:r w:rsidDel="00000000" w:rsidR="00000000" w:rsidRPr="00000000">
          <w:rPr>
            <w:color w:val="1155cc"/>
            <w:u w:val="single"/>
            <w:rtl w:val="0"/>
          </w:rPr>
          <w:t xml:space="preserve">https://www.ford.nl/dealer-zoeken</w:t>
        </w:r>
      </w:hyperlink>
      <w:r w:rsidDel="00000000" w:rsidR="00000000" w:rsidRPr="00000000">
        <w:rPr>
          <w:rtl w:val="0"/>
        </w:rPr>
        <w:t xml:space="preserve"> .</w:t>
        <w:br w:type="textWrapping"/>
        <w:br w:type="textWrapping"/>
        <w:t xml:space="preserve">Based on whether it’s a commercial or non commercial vehicle the popup looks slightly different. Below is an example of both.</w:t>
      </w:r>
    </w:p>
    <w:p w:rsidR="00000000" w:rsidDel="00000000" w:rsidP="00000000" w:rsidRDefault="00000000" w:rsidRPr="00000000" w14:paraId="0000000B">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Non-commercial vehicle:</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4050" cy="2387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Commercial vehicle:</w:t>
      </w:r>
    </w:p>
    <w:p w:rsidR="00000000" w:rsidDel="00000000" w:rsidP="00000000" w:rsidRDefault="00000000" w:rsidRPr="00000000" w14:paraId="0000000F">
      <w:pPr>
        <w:tabs>
          <w:tab w:val="left" w:pos="0"/>
        </w:tabs>
        <w:spacing w:after="240" w:line="276" w:lineRule="auto"/>
        <w:rPr/>
      </w:pPr>
      <w:r w:rsidDel="00000000" w:rsidR="00000000" w:rsidRPr="00000000">
        <w:rPr/>
        <w:drawing>
          <wp:inline distB="114300" distT="114300" distL="114300" distR="114300">
            <wp:extent cx="5734050" cy="2349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349500"/>
                    </a:xfrm>
                    <a:prstGeom prst="rect"/>
                    <a:ln/>
                  </pic:spPr>
                </pic:pic>
              </a:graphicData>
            </a:graphic>
          </wp:inline>
        </w:drawing>
      </w:r>
      <w:r w:rsidDel="00000000" w:rsidR="00000000" w:rsidRPr="00000000">
        <w:rPr>
          <w:rtl w:val="0"/>
        </w:rPr>
        <w:tab/>
        <w:tab/>
        <w:tab/>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1">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2">
      <w:pPr>
        <w:rPr/>
      </w:pPr>
      <w:hyperlink r:id="rId12">
        <w:r w:rsidDel="00000000" w:rsidR="00000000" w:rsidRPr="00000000">
          <w:rPr>
            <w:color w:val="1155cc"/>
            <w:u w:val="single"/>
            <w:rtl w:val="0"/>
          </w:rPr>
          <w:t xml:space="preserve">https://www.ford.nl?at_preview_token=B7wPI%2BKRGPb8pNukmz4PGQ%3D%3D&amp;at_preview_index=1_1&amp;at_preview_listed_activities_only=true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5">
      <w:pPr>
        <w:rPr/>
      </w:pPr>
      <w:hyperlink r:id="rId13">
        <w:r w:rsidDel="00000000" w:rsidR="00000000" w:rsidRPr="00000000">
          <w:rPr>
            <w:color w:val="1155cc"/>
            <w:u w:val="single"/>
            <w:rtl w:val="0"/>
          </w:rPr>
          <w:t xml:space="preserve">https://www.ford.nl?at_preview_token=B7wPI%2BKRGPb8pNukmz4PGQ%3D%3D&amp;at_preview_index=1_2&amp;at_preview_listed_activities_only=true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6">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ford.nl?at_preview_token=B7wPI%2BKRGPb8pNukmz4PGQ%3D%3D&amp;at_preview_index=1_2&amp;at_preview_listed_activities_only=true" TargetMode="External"/><Relationship Id="rId12" Type="http://schemas.openxmlformats.org/officeDocument/2006/relationships/hyperlink" Target="https://www.ford.nl?at_preview_token=B7wPI%2BKRGPb8pNukmz4PGQ%3D%3D&amp;at_preview_index=1_1&amp;at_preview_listed_activities_only=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nl/dealer-zoek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87" TargetMode="External"/><Relationship Id="rId8" Type="http://schemas.openxmlformats.org/officeDocument/2006/relationships/hyperlink" Target="https://www.for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DhZvy2gpWDiiQWNO4AWqtlRQQ==">AMUW2mX4KYcam1d5VCqRM+w6XwmcHqx7tpDRkD7IA+q8NGKTKnlQI3+u4JKduE5JoHRvc37UoIsoAgJF7h2e6pdnDyKVT2hRWM9CxL6O6+o+rXImQHI3LoZYCfYjzPoFo6hrwsaOCJD+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