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20.24] OT-898 | XT | IE | NPP | Nameplate Page to RAC Popin – 12 June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https://www.ford.ie/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Kuga and Puma Nameplate Pages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We know from previous testing on popups that this type of engagement can help to keep lead-gen healthy; we assume that by proactively suggesting a contact we can generate more leads than leaving the user 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Mouse over Vehicles in and select either the New Puma or the New Kuga. Once on the landing page, wait about 8 seconds after which a popup will appear. The popup has displayed a different image depending on which vehicle you went with.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 the popup there’s a request a contact button that will link you to the request a contact page, but be deep linked for that vehicle. I’ve attached an example of what the Kuga looks like below.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Puma looks exactly the same, however, the picture displayed is the one in the below link and the text says New Ford Puma instead of All New Ford Kuga.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https://gtb-ci.s3-eu-west-1.amazonaws.com/PUMA-1600x900.jpg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button also instead deep links into the Puma instead of the Kuga.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Kuga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67325" cy="5962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Kuga Deeplink: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https://www.ford.ie/?at_preview_token=bU5pgrrc%2FDPGfhsQVRB36w%3D%3D&amp;at_preview_index=1_1&amp;at_preview_listed_activities_only=true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www.ford.ie/?at_preview_token=bU5pgrrc%2FDPGfhsQVRB36w%3D%3D&amp;at_preview_index=1_1&amp;at_preview_listed_activities_only=true" TargetMode="External"/><Relationship Id="rId9" Type="http://schemas.openxmlformats.org/officeDocument/2006/relationships/hyperlink" Target="https://gtb-ci.s3-eu-west-1.amazonaws.com/PUMA-1600x900.jp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898" TargetMode="External"/><Relationship Id="rId8" Type="http://schemas.openxmlformats.org/officeDocument/2006/relationships/hyperlink" Target="https://www.ford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ud0mfX2RWi+ovjwTAOZpcFrDA==">AMUW2mVRGZL8I+/APaLBw4SHVCEdBFssLIJpIsPjdWcbHKhqoD0cR7Qc+bcACJJp5UFnVga1noCHhfaVSde7TjtQuTYPXkox5HuUKrl1jMtIMvSq59tlBt++wGY0+KYca8BSnHIamq7R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