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20.28] OT-916 | XT | UK | BP | BP Summary Page Popin - TDR &amp; S2D – 09 July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https://jira.uhub.biz/browse/GTBEMEAOPT-916</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https://www.ford.co.uk/</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B&amp;P Summary Page (Except Puma)</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We do not know the best next step for customers at this stage of the journey, if we run this as a test we will determine the best next step or understand that a choice is best.</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QA link. Once the page is loaded, you’ll be on the CARS selection page. You can select any vehicle from this page, except for the Puma and the Mach-E, or select a vehicle from the Vans &amp; Pickups section. To select a vehicle on the Cars section, mouse over the vehicle and click the Build and Price button. To select a vehicle on the Vans &amp; Pickups section, first ensure you have selected it on the left, then simply click on a vehicle.</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Once you’ve done either, you will be on the Build and Price page for the vehicle. Once loaded click on the “Summary &amp; Next Steps” button in the top right. Once done wait approximately 8 seconds after which a popup will appear. </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The popup will have the configured vehicle display, with the text below it being “What would you like to do next?”. Then below that there’ll be a two buttons.</w:t>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The first button will say “Request a Test Drive” and will deep link into a request a test drive page with the vehicle pre-selected.</w:t>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The second button will say “Send to Dealer” and will deep link into a send to dealer page with the vehicle pre-selected.</w:t>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See attached images for references.</w:t>
      </w:r>
      <w:r w:rsidDel="00000000" w:rsidR="00000000" w:rsidRPr="00000000">
        <w:rPr>
          <w:rtl w:val="0"/>
        </w:rPr>
      </w:r>
    </w:p>
    <w:p w:rsidR="00000000" w:rsidDel="00000000" w:rsidP="00000000" w:rsidRDefault="00000000" w:rsidRPr="00000000" w14:paraId="00000010">
      <w:pPr>
        <w:tabs>
          <w:tab w:val="left" w:pos="0"/>
        </w:tabs>
        <w:spacing w:after="240" w:line="276" w:lineRule="auto"/>
        <w:rPr/>
      </w:pP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rPr>
          <w:rtl w:val="0"/>
        </w:rPr>
        <w:br w:type="textWrapping"/>
        <w:t xml:space="preserve">Desktop Popup:</w:t>
        <w:br w:type="textWrapping"/>
      </w:r>
      <w:r w:rsidDel="00000000" w:rsidR="00000000" w:rsidRPr="00000000">
        <w:rPr/>
        <w:drawing>
          <wp:inline distB="114300" distT="114300" distL="114300" distR="114300">
            <wp:extent cx="5276850" cy="5695950"/>
            <wp:effectExtent b="0" l="0" r="0" t="0"/>
            <wp:docPr id="1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76850" cy="56959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tabs>
          <w:tab w:val="left" w:pos="0"/>
        </w:tabs>
        <w:spacing w:after="240" w:line="276" w:lineRule="auto"/>
        <w:rPr/>
      </w:pPr>
      <w:r w:rsidDel="00000000" w:rsidR="00000000" w:rsidRPr="00000000">
        <w:rPr>
          <w:rtl w:val="0"/>
        </w:rPr>
        <w:t xml:space="preserve">Mobile Popup:</w:t>
        <w:br w:type="textWrapping"/>
      </w:r>
      <w:r w:rsidDel="00000000" w:rsidR="00000000" w:rsidRPr="00000000">
        <w:rPr/>
        <w:drawing>
          <wp:inline distB="114300" distT="114300" distL="114300" distR="114300">
            <wp:extent cx="3295650" cy="5600700"/>
            <wp:effectExtent b="0" l="0" r="0" t="0"/>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95650" cy="5600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3">
      <w:pPr>
        <w:tabs>
          <w:tab w:val="left" w:pos="0"/>
        </w:tabs>
        <w:spacing w:after="240" w:line="276" w:lineRule="auto"/>
        <w:rPr/>
      </w:pPr>
      <w:r w:rsidDel="00000000" w:rsidR="00000000" w:rsidRPr="00000000">
        <w:rPr>
          <w:rtl w:val="0"/>
        </w:rPr>
        <w:t xml:space="preserve">Request a test drive deep-link page:</w:t>
        <w:br w:type="textWrapping"/>
      </w:r>
      <w:r w:rsidDel="00000000" w:rsidR="00000000" w:rsidRPr="00000000">
        <w:rPr/>
        <w:drawing>
          <wp:inline distB="114300" distT="114300" distL="114300" distR="114300">
            <wp:extent cx="5731200" cy="4254500"/>
            <wp:effectExtent b="0" l="0" r="0" t="0"/>
            <wp:docPr id="1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254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4">
      <w:pPr>
        <w:tabs>
          <w:tab w:val="left" w:pos="0"/>
        </w:tabs>
        <w:spacing w:after="240" w:line="276" w:lineRule="auto"/>
        <w:rPr/>
      </w:pPr>
      <w:r w:rsidDel="00000000" w:rsidR="00000000" w:rsidRPr="00000000">
        <w:rPr>
          <w:rtl w:val="0"/>
        </w:rPr>
        <w:t xml:space="preserve">Send to dealer deep-link page:</w:t>
        <w:br w:type="textWrapping"/>
      </w:r>
      <w:r w:rsidDel="00000000" w:rsidR="00000000" w:rsidRPr="00000000">
        <w:rPr/>
        <w:drawing>
          <wp:inline distB="114300" distT="114300" distL="114300" distR="114300">
            <wp:extent cx="5731200" cy="3911600"/>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911600"/>
                    </a:xfrm>
                    <a:prstGeom prst="rect"/>
                    <a:ln/>
                  </pic:spPr>
                </pic:pic>
              </a:graphicData>
            </a:graphic>
          </wp:inline>
        </w:drawing>
      </w: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5">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color w:val="000000"/>
          <w:u w:val="single"/>
          <w:rtl w:val="0"/>
        </w:rPr>
        <w:t xml:space="preserve">QA Link:</w:t>
      </w:r>
      <w:r w:rsidDel="00000000" w:rsidR="00000000" w:rsidRPr="00000000">
        <w:rPr>
          <w:rtl w:val="0"/>
        </w:rPr>
      </w:r>
    </w:p>
    <w:p w:rsidR="00000000" w:rsidDel="00000000" w:rsidP="00000000" w:rsidRDefault="00000000" w:rsidRPr="00000000" w14:paraId="00000017">
      <w:pPr>
        <w:rPr/>
      </w:pPr>
      <w:hyperlink r:id="rId13">
        <w:r w:rsidDel="00000000" w:rsidR="00000000" w:rsidRPr="00000000">
          <w:rPr>
            <w:color w:val="1155cc"/>
            <w:u w:val="single"/>
            <w:rtl w:val="0"/>
          </w:rPr>
          <w:t xml:space="preserve">https://www.ford.co.uk/shop/price-and-locate/build-and-price?at_preview_token=vdpfl-Zu7RQkHUn6XRyLXw&amp;at_preview_index=1_2&amp;at_preview_listed_activities_only=true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www.ford.co.uk/shop/price-and-locate/build-and-price?at_preview_token=vdpfl-Zu7RQkHUn6XRyLXw&amp;at_preview_index=1_2&amp;at_preview_listed_activities_only=tru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916" TargetMode="External"/><Relationship Id="rId8" Type="http://schemas.openxmlformats.org/officeDocument/2006/relationships/hyperlink" Target="https://www.ford.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xIWIqVAHGPvGHOhia7EENidpBg==">AMUW2mVVGeHmeAAKpOIiN8mj/+3UmCgeRhM30p9nd5E9zWLt4Hp4B5wP0kRl7OEyrvhF8jaUivGxzDVYJtlQMxNF0KVTFZix2amUikfV1xx59FZq2z08Zw9ttvITuBqui+a7MAVdF+BH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