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20.28] OT-932 | XT | NO | AS | Find a Dealer Popin v1 - 15 July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https://jira.uhub.biz/browse/GTBEMEAOPT-932</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https://www.ford.no/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w:t>
      </w:r>
      <w:r w:rsidDel="00000000" w:rsidR="00000000" w:rsidRPr="00000000">
        <w:rPr>
          <w:rtl w:val="0"/>
        </w:rPr>
        <w:br w:type="textWrapping"/>
      </w:r>
    </w:p>
    <w:p w:rsidR="00000000" w:rsidDel="00000000" w:rsidP="00000000" w:rsidRDefault="00000000" w:rsidRPr="00000000" w14:paraId="00000008">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p>
    <w:p w:rsidR="00000000" w:rsidDel="00000000" w:rsidP="00000000" w:rsidRDefault="00000000" w:rsidRPr="00000000" w14:paraId="00000009">
      <w:pPr>
        <w:tabs>
          <w:tab w:val="left" w:pos="0"/>
        </w:tabs>
        <w:spacing w:after="240" w:line="276" w:lineRule="auto"/>
        <w:rPr/>
      </w:pPr>
      <w:r w:rsidDel="00000000" w:rsidR="00000000" w:rsidRPr="00000000">
        <w:rPr>
          <w:b w:val="1"/>
          <w:u w:val="single"/>
          <w:rtl w:val="0"/>
        </w:rPr>
        <w:t xml:space="preserve">Test Description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View the QA link. Click on the "Bygg din Ford” link in the main heading on the right-hand side. On the configure page on the left you will see an option to pick "Personbiler” or “Nyttekjøretøy” - select vehicles from both sides to test. The Puma and Mach-E is excluded from this test.</w:t>
        <w:br w:type="textWrapping"/>
        <w:br w:type="textWrapping"/>
        <w:t xml:space="preserve">Next click the Ford Logo in the top left corner to go to the home page. 10 seconds after the page has a loaded a popup will appear, here you will see the vehicle you viewed and the price (NOTE: Commercial vehicles don’t show a price). You can find a dealer by clicking the “Finn en forhandler” button on the popup, this link should take you to </w:t>
      </w:r>
      <w:hyperlink r:id="rId9">
        <w:r w:rsidDel="00000000" w:rsidR="00000000" w:rsidRPr="00000000">
          <w:rPr>
            <w:color w:val="1155cc"/>
            <w:u w:val="single"/>
            <w:rtl w:val="0"/>
          </w:rPr>
          <w:t xml:space="preserve">https://www.ford.no/finn-en-forhandler</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See screenshots below for examples.</w:t>
      </w: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Desktop Non-Commercial Popup:</w:t>
        <w:br w:type="textWrapping"/>
      </w:r>
      <w:r w:rsidDel="00000000" w:rsidR="00000000" w:rsidRPr="00000000">
        <w:rPr/>
        <w:drawing>
          <wp:inline distB="114300" distT="114300" distL="114300" distR="114300">
            <wp:extent cx="5731200" cy="23495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rtl w:val="0"/>
        </w:rPr>
        <w:t xml:space="preserve">Mobile Non-Commercial Popup:</w:t>
        <w:br w:type="textWrapping"/>
      </w:r>
      <w:r w:rsidDel="00000000" w:rsidR="00000000" w:rsidRPr="00000000">
        <w:rPr/>
        <w:drawing>
          <wp:inline distB="114300" distT="114300" distL="114300" distR="114300">
            <wp:extent cx="3781425" cy="65913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81425" cy="659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Desktop Commercial Popup:</w:t>
        <w:br w:type="textWrapping"/>
      </w:r>
      <w:r w:rsidDel="00000000" w:rsidR="00000000" w:rsidRPr="00000000">
        <w:rPr/>
        <w:drawing>
          <wp:inline distB="114300" distT="114300" distL="114300" distR="114300">
            <wp:extent cx="5731200" cy="23241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rtl w:val="0"/>
        </w:rPr>
        <w:t xml:space="preserve">Mobile Commercial Popup:</w:t>
        <w:br w:type="textWrapping"/>
      </w:r>
      <w:r w:rsidDel="00000000" w:rsidR="00000000" w:rsidRPr="00000000">
        <w:rPr/>
        <w:drawing>
          <wp:inline distB="114300" distT="114300" distL="114300" distR="114300">
            <wp:extent cx="3867150" cy="667702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67150"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4">
      <w:pPr>
        <w:tabs>
          <w:tab w:val="left" w:pos="0"/>
        </w:tabs>
        <w:spacing w:after="24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tabs>
          <w:tab w:val="left" w:pos="0"/>
        </w:tabs>
        <w:spacing w:after="240" w:line="276" w:lineRule="auto"/>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6">
      <w:pPr>
        <w:spacing w:line="276" w:lineRule="auto"/>
        <w:rPr>
          <w:b w:val="1"/>
          <w:color w:val="000000"/>
          <w:u w:val="single"/>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rPr>
      </w:pPr>
      <w:r w:rsidDel="00000000" w:rsidR="00000000" w:rsidRPr="00000000">
        <w:rPr>
          <w:b w:val="1"/>
          <w:color w:val="000000"/>
          <w:u w:val="single"/>
          <w:rtl w:val="0"/>
        </w:rPr>
        <w:t xml:space="preserve">QA Links:</w:t>
        <w:br w:type="textWrapping"/>
      </w:r>
      <w:hyperlink r:id="rId14">
        <w:r w:rsidDel="00000000" w:rsidR="00000000" w:rsidRPr="00000000">
          <w:rPr>
            <w:color w:val="1155cc"/>
            <w:u w:val="single"/>
            <w:rtl w:val="0"/>
          </w:rPr>
          <w:t xml:space="preserve">https://www.ford.no/?at_preview_token=Tn1PgQHLTl0aa4I_PSLoIg&amp;at_preview_index=1_1&amp;at_preview_listed_activities_only=true</w:t>
        </w:r>
      </w:hyperlink>
      <w:r w:rsidDel="00000000" w:rsidR="00000000" w:rsidRPr="00000000">
        <w:rPr>
          <w:u w:val="single"/>
          <w:rtl w:val="0"/>
        </w:rPr>
        <w:t xml:space="preserve"> </w:t>
      </w: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character" w:styleId="CommentReference">
    <w:name w:val="annotation reference"/>
    <w:basedOn w:val="DefaultParagraphFont"/>
    <w:uiPriority w:val="99"/>
    <w:semiHidden w:val="1"/>
    <w:unhideWhenUsed w:val="1"/>
    <w:rsid w:val="008A215C"/>
    <w:rPr>
      <w:sz w:val="16"/>
      <w:szCs w:val="16"/>
    </w:rPr>
  </w:style>
  <w:style w:type="paragraph" w:styleId="CommentText">
    <w:name w:val="annotation text"/>
    <w:basedOn w:val="Normal"/>
    <w:link w:val="CommentTextChar"/>
    <w:uiPriority w:val="99"/>
    <w:semiHidden w:val="1"/>
    <w:unhideWhenUsed w:val="1"/>
    <w:rsid w:val="008A215C"/>
    <w:rPr>
      <w:sz w:val="20"/>
      <w:szCs w:val="20"/>
    </w:rPr>
  </w:style>
  <w:style w:type="character" w:styleId="CommentTextChar" w:customStyle="1">
    <w:name w:val="Comment Text Char"/>
    <w:basedOn w:val="DefaultParagraphFont"/>
    <w:link w:val="CommentText"/>
    <w:uiPriority w:val="99"/>
    <w:semiHidden w:val="1"/>
    <w:rsid w:val="008A215C"/>
    <w:rPr>
      <w:szCs w:val="20"/>
    </w:rPr>
  </w:style>
  <w:style w:type="paragraph" w:styleId="CommentSubject">
    <w:name w:val="annotation subject"/>
    <w:basedOn w:val="CommentText"/>
    <w:next w:val="CommentText"/>
    <w:link w:val="CommentSubjectChar"/>
    <w:uiPriority w:val="99"/>
    <w:semiHidden w:val="1"/>
    <w:unhideWhenUsed w:val="1"/>
    <w:rsid w:val="008A215C"/>
    <w:rPr>
      <w:b w:val="1"/>
      <w:bCs w:val="1"/>
    </w:rPr>
  </w:style>
  <w:style w:type="character" w:styleId="CommentSubjectChar" w:customStyle="1">
    <w:name w:val="Comment Subject Char"/>
    <w:basedOn w:val="CommentTextChar"/>
    <w:link w:val="CommentSubject"/>
    <w:uiPriority w:val="99"/>
    <w:semiHidden w:val="1"/>
    <w:rsid w:val="008A215C"/>
    <w:rPr>
      <w:b w:val="1"/>
      <w:bCs w:val="1"/>
      <w:szCs w:val="20"/>
    </w:rPr>
  </w:style>
  <w:style w:type="paragraph" w:styleId="BalloonText">
    <w:name w:val="Balloon Text"/>
    <w:basedOn w:val="Normal"/>
    <w:link w:val="BalloonTextChar"/>
    <w:uiPriority w:val="99"/>
    <w:semiHidden w:val="1"/>
    <w:unhideWhenUsed w:val="1"/>
    <w:rsid w:val="008A215C"/>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A215C"/>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no/finn-en-forhandler" TargetMode="External"/><Relationship Id="rId14" Type="http://schemas.openxmlformats.org/officeDocument/2006/relationships/hyperlink" Target="https://www.ford.no/?at_preview_token=Tn1PgQHLTl0aa4I_PSLoIg&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32" TargetMode="External"/><Relationship Id="rId8" Type="http://schemas.openxmlformats.org/officeDocument/2006/relationships/hyperlink" Target="https://www.ford.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upGKWHywIHeAtVJj/Lajw+kJw==">AMUW2mWyohul95MHdkiDVcnKDx1NHnKjCMJyE6lQc7NF23y46MfXpwM5pAlMjCSJ2WKk4OepOnNy9FhgkHAVodlyQ0NStaaDqYb6fLvTFmLpnbN7w6ydIOQ=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2020-05-18T09:43:00Z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