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20.26] OT-908 | XT | UK | BP | BP Summary S2D Popin  – 23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https://jira.uhub.biz/browse/GTBEMEAOPT-908</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https://www.ford.co.uk/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Build &amp; Price Summary Page</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By proactively having a Send to Dealer message in a popin and hence making it obvious that this is possible, which will increase Send to Dealer leads. Especially considering the current CTA is not that noticeable and could be easily missed.</w:t>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QA link. Click the “Build &amp; Price” link at the top of the page in the main header. On the next page select any vehicle by mousing over them and clicking on the “Build &amp; Price” button that appears. Once on this page, click on the “Summary &amp; Next Steps” button on the right of the screen. Now you are on the summary page. After 10 seconds a popup will appear that looks something like the image found in this document.</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This popup will only appear once.</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If you get to the summary page and immediately press on the “Send to Dealer” button before the popup appears. The popup will no longer appear. In the above case, the only way for the popup to re-appear is to go back twice so you’re on the page where you select a vehicle to configure and then go through the steps again. </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Note this only works if you clicked on the “Send to Dealer” button before the popup appears. If you’ve already seen the popup and you try the above the popup will not appear.</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The popup contains a button “Send to Dealer” which works the same way the “Send to Dealer” button works on the page. The popup redirects you to a page, whereas the page button opens an overlay, but both pages should look similar.</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Lastly, the code implemented previously to block the popup when a 3rd party popup is available has also been implemented. So if the popup hasn’t appear check the console for a “blocked” message. If this is seen the popup was blocked.</w:t>
      </w:r>
    </w:p>
    <w:p w:rsidR="00000000" w:rsidDel="00000000" w:rsidP="00000000" w:rsidRDefault="00000000" w:rsidRPr="00000000" w14:paraId="00000010">
      <w:pPr>
        <w:tabs>
          <w:tab w:val="left" w:pos="0"/>
        </w:tabs>
        <w:spacing w:after="240" w:line="276" w:lineRule="auto"/>
        <w:rPr/>
      </w:pPr>
      <w:r w:rsidDel="00000000" w:rsidR="00000000" w:rsidRPr="00000000">
        <w:rPr>
          <w:rtl w:val="0"/>
        </w:rPr>
        <w:t xml:space="preserve">Desktop Popup:</w:t>
      </w:r>
      <w:r w:rsidDel="00000000" w:rsidR="00000000" w:rsidRPr="00000000">
        <w:rPr/>
        <w:drawing>
          <wp:inline distB="114300" distT="114300" distL="114300" distR="114300">
            <wp:extent cx="5731200" cy="28829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82900"/>
                    </a:xfrm>
                    <a:prstGeom prst="rect"/>
                    <a:ln/>
                  </pic:spPr>
                </pic:pic>
              </a:graphicData>
            </a:graphic>
          </wp:inline>
        </w:drawing>
      </w:r>
      <w:r w:rsidDel="00000000" w:rsidR="00000000" w:rsidRPr="00000000">
        <w:rPr>
          <w:rtl w:val="0"/>
        </w:rPr>
        <w:t xml:space="preserve">Mobile Popup:</w:t>
        <w:br w:type="textWrapping"/>
      </w:r>
      <w:r w:rsidDel="00000000" w:rsidR="00000000" w:rsidRPr="00000000">
        <w:rPr/>
        <w:drawing>
          <wp:inline distB="114300" distT="114300" distL="114300" distR="114300">
            <wp:extent cx="4000500" cy="67532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00500" cy="6753225"/>
                    </a:xfrm>
                    <a:prstGeom prst="rect"/>
                    <a:ln/>
                  </pic:spPr>
                </pic:pic>
              </a:graphicData>
            </a:graphic>
          </wp:inline>
        </w:drawing>
      </w:r>
      <w:r w:rsidDel="00000000" w:rsidR="00000000" w:rsidRPr="00000000">
        <w:rPr>
          <w:rtl w:val="0"/>
        </w:rPr>
        <w:tab/>
      </w:r>
    </w:p>
    <w:p w:rsidR="00000000" w:rsidDel="00000000" w:rsidP="00000000" w:rsidRDefault="00000000" w:rsidRPr="00000000" w14:paraId="00000011">
      <w:pPr>
        <w:tabs>
          <w:tab w:val="left" w:pos="0"/>
        </w:tabs>
        <w:spacing w:after="240" w:line="276" w:lineRule="auto"/>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3">
      <w:pPr>
        <w:spacing w:line="276" w:lineRule="auto"/>
        <w:rPr>
          <w:b w:val="1"/>
          <w:color w:val="000000"/>
          <w:u w:val="single"/>
        </w:rPr>
      </w:pPr>
      <w:r w:rsidDel="00000000" w:rsidR="00000000" w:rsidRPr="00000000">
        <w:rPr>
          <w:rtl w:val="0"/>
        </w:rPr>
      </w:r>
    </w:p>
    <w:p w:rsidR="00000000" w:rsidDel="00000000" w:rsidP="00000000" w:rsidRDefault="00000000" w:rsidRPr="00000000" w14:paraId="00000014">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5">
      <w:pPr>
        <w:rPr/>
      </w:pPr>
      <w:hyperlink r:id="rId11">
        <w:r w:rsidDel="00000000" w:rsidR="00000000" w:rsidRPr="00000000">
          <w:rPr>
            <w:color w:val="1155cc"/>
            <w:u w:val="single"/>
            <w:rtl w:val="0"/>
          </w:rPr>
          <w:t xml:space="preserve">https://www.ford.co.uk?at_preview_token=cAeGLOt4e_Rau1bV0xbYzQ&amp;at_preview_index=1_1&amp;at_preview_listed_activities_only=true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co.uk?at_preview_token=cAeGLOt4e_Rau1bV0xbYzQ&amp;at_preview_index=1_1&amp;at_preview_listed_activities_only=true"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08" TargetMode="External"/><Relationship Id="rId8" Type="http://schemas.openxmlformats.org/officeDocument/2006/relationships/hyperlink" Target="https://www.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QGSLkdsBbRWyjD8Q0kr35oRMg==">AMUW2mV8kE343Q1Ia8niDv00U6u9gGeMohm08K8q8IzijHRwQkNzlEo1Q0Sf3ps9zKJfMbTieIAnlnOnw7f/7VwDorSEQO9ud0Whh2k3szsGvjCYcIXtpiLQtQ8BI/viXhwJeaBTHxDH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