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OT-967 | AB | FR | NPP | Mini Dealer Redirect</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https://jira.uhub.biz/browse/GTBEMEAOPT-967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Vehicle NPPs that have a 'Find a Dealer' component at the bottom of the page</w:t>
      </w:r>
    </w:p>
    <w:p w:rsidR="00000000" w:rsidDel="00000000" w:rsidP="00000000" w:rsidRDefault="00000000" w:rsidRPr="00000000" w14:paraId="00000008">
      <w:pPr>
        <w:spacing w:line="276" w:lineRule="auto"/>
        <w:rPr>
          <w:b w:val="1"/>
          <w:u w:val="single"/>
        </w:rPr>
      </w:pPr>
      <w:r w:rsidDel="00000000" w:rsidR="00000000" w:rsidRPr="00000000">
        <w:rPr>
          <w:rtl w:val="0"/>
        </w:rPr>
        <w:br w:type="textWrapping"/>
      </w:r>
      <w:r w:rsidDel="00000000" w:rsidR="00000000" w:rsidRPr="00000000">
        <w:rPr>
          <w:b w:val="1"/>
          <w:u w:val="single"/>
          <w:rtl w:val="0"/>
        </w:rPr>
        <w:t xml:space="preserve">Tags</w:t>
      </w:r>
    </w:p>
    <w:p w:rsidR="00000000" w:rsidDel="00000000" w:rsidP="00000000" w:rsidRDefault="00000000" w:rsidRPr="00000000" w14:paraId="00000009">
      <w:pPr>
        <w:spacing w:line="276" w:lineRule="auto"/>
        <w:rPr/>
      </w:pPr>
      <w:r w:rsidDel="00000000" w:rsidR="00000000" w:rsidRPr="00000000">
        <w:rPr>
          <w:rtl w:val="0"/>
        </w:rPr>
        <w:t xml:space="preserve">CONTROL:  tt:nwp:opt-967:ab:vhp:mini-dealer-redirect:control</w:t>
      </w:r>
    </w:p>
    <w:p w:rsidR="00000000" w:rsidDel="00000000" w:rsidP="00000000" w:rsidRDefault="00000000" w:rsidRPr="00000000" w14:paraId="0000000A">
      <w:pPr>
        <w:spacing w:line="276" w:lineRule="auto"/>
        <w:rPr/>
      </w:pPr>
      <w:r w:rsidDel="00000000" w:rsidR="00000000" w:rsidRPr="00000000">
        <w:rPr>
          <w:rtl w:val="0"/>
        </w:rPr>
        <w:t xml:space="preserve">CHALLENGER: tt:nwp:opt-967:ab:vhp:mini-dealer-redirect:var-b</w:t>
      </w:r>
    </w:p>
    <w:p w:rsidR="00000000" w:rsidDel="00000000" w:rsidP="00000000" w:rsidRDefault="00000000" w:rsidRPr="00000000" w14:paraId="0000000B">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b w:val="1"/>
          <w:u w:val="single"/>
          <w:rtl w:val="0"/>
        </w:rPr>
        <w:t xml:space="preserve">Test Description</w:t>
      </w:r>
      <w:r w:rsidDel="00000000" w:rsidR="00000000" w:rsidRPr="00000000">
        <w:rPr>
          <w:rtl w:val="0"/>
        </w:rPr>
        <w:br w:type="textWrapping"/>
        <w:br w:type="textWrapping"/>
      </w:r>
      <w:r w:rsidDel="00000000" w:rsidR="00000000" w:rsidRPr="00000000">
        <w:rPr>
          <w:rtl w:val="0"/>
        </w:rPr>
        <w:t xml:space="preserve">View the Challenger QA Link. Browse to any vehicle page. You can do this by hovering over the “Vehicules” link on the left in the main navigation header. Then select any vehicle from the “Tous” sub-option. You can select vehicles from other sub-options too, but they should all be under “Tous”.</w:t>
        <w:br w:type="textWrapping"/>
        <w:br w:type="textWrapping"/>
        <w:t xml:space="preserve">Once you’ve selected a vehicle scroll down to the bottom of the page looking for a section that looks like the below image. </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1200" cy="1676400"/>
            <wp:effectExtent b="0" l="0" r="0" t="0"/>
            <wp:docPr id="18746170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NOTE: Most vehicles have this page, not all of them do though.</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changes in this activity, removed an advanced search button that was below the Text Box. You can view the Control QA link to compare. </w:t>
        <w:br w:type="textWrapping"/>
        <w:t xml:space="preserve">The other change is that if you enter information into the text box and you search for it, either by hitting enter, pressing on the “ &gt; “ on the text box or selecting one of the suggested options, you’ll be redirected to the Find Dealer page “</w:t>
      </w:r>
      <w:hyperlink r:id="rId10">
        <w:r w:rsidDel="00000000" w:rsidR="00000000" w:rsidRPr="00000000">
          <w:rPr>
            <w:color w:val="1155cc"/>
            <w:u w:val="single"/>
            <w:rtl w:val="0"/>
          </w:rPr>
          <w:t xml:space="preserve">https://www.ford.fr/votre-concessionnaire</w:t>
        </w:r>
      </w:hyperlink>
      <w:r w:rsidDel="00000000" w:rsidR="00000000" w:rsidRPr="00000000">
        <w:rPr>
          <w:rtl w:val="0"/>
        </w:rPr>
        <w:t xml:space="preserve">” however whatever you entered in the textbox or selected from the suggested options would’ve carried over to this page and it would be searched on that page.</w:t>
        <w:br w:type="textWrapping"/>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As an example, enter “Paris” in the textbox would cause this to happen:</w:t>
        <w:br w:type="textWrapping"/>
      </w:r>
      <w:r w:rsidDel="00000000" w:rsidR="00000000" w:rsidRPr="00000000">
        <w:rPr/>
        <w:drawing>
          <wp:inline distB="114300" distT="114300" distL="114300" distR="114300">
            <wp:extent cx="5731200" cy="2311400"/>
            <wp:effectExtent b="0" l="0" r="0" t="0"/>
            <wp:docPr id="187461704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Clicking on the last suggestion, “Rue de Paris, Kourou, French Guiana”. Would redirect to the Find a Dealer page, and auto search that: </w:t>
      </w:r>
      <w:r w:rsidDel="00000000" w:rsidR="00000000" w:rsidRPr="00000000">
        <w:rPr/>
        <w:drawing>
          <wp:inline distB="114300" distT="114300" distL="114300" distR="114300">
            <wp:extent cx="5731200" cy="3187700"/>
            <wp:effectExtent b="0" l="0" r="0" t="0"/>
            <wp:docPr id="18746170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On the control, however, the results would’ve instead loaded on the same page.</w:t>
      </w:r>
      <w:r w:rsidDel="00000000" w:rsidR="00000000" w:rsidRPr="00000000">
        <w:rPr>
          <w:rtl w:val="0"/>
        </w:rPr>
      </w:r>
    </w:p>
    <w:p w:rsidR="00000000" w:rsidDel="00000000" w:rsidP="00000000" w:rsidRDefault="00000000" w:rsidRPr="00000000" w14:paraId="00000013">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br w:type="textWrapping"/>
        <w:br w:type="textWrapping"/>
      </w:r>
      <w:r w:rsidDel="00000000" w:rsidR="00000000" w:rsidRPr="00000000">
        <w:rPr>
          <w:rtl w:val="0"/>
        </w:rPr>
      </w:r>
    </w:p>
    <w:p w:rsidR="00000000" w:rsidDel="00000000" w:rsidP="00000000" w:rsidRDefault="00000000" w:rsidRPr="00000000" w14:paraId="00000014">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5">
      <w:pP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16">
      <w:pPr>
        <w:rPr/>
      </w:pPr>
      <w:hyperlink r:id="rId13">
        <w:r w:rsidDel="00000000" w:rsidR="00000000" w:rsidRPr="00000000">
          <w:rPr>
            <w:color w:val="1155cc"/>
            <w:u w:val="single"/>
            <w:rtl w:val="0"/>
          </w:rPr>
          <w:t xml:space="preserve">https://www.ford.fr/?at_preview_token=BjOTIbL0phKQ7RelTN707Q&amp;at_preview_index=1_1&amp;at_preview_listed_activities_only=true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CHALLENGER:</w:t>
      </w:r>
      <w:r w:rsidDel="00000000" w:rsidR="00000000" w:rsidRPr="00000000">
        <w:rPr>
          <w:rtl w:val="0"/>
        </w:rPr>
      </w:r>
    </w:p>
    <w:p w:rsidR="00000000" w:rsidDel="00000000" w:rsidP="00000000" w:rsidRDefault="00000000" w:rsidRPr="00000000" w14:paraId="00000019">
      <w:pPr>
        <w:rPr/>
      </w:pPr>
      <w:hyperlink r:id="rId14">
        <w:r w:rsidDel="00000000" w:rsidR="00000000" w:rsidRPr="00000000">
          <w:rPr>
            <w:color w:val="1155cc"/>
            <w:u w:val="single"/>
            <w:rtl w:val="0"/>
          </w:rPr>
          <w:t xml:space="preserve">https://www.ford.fr/?at_preview_token=BjOTIbL0phKQ7RelTN707Q&amp;at_preview_index=1_2&amp;at_preview_listed_activities_only=true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ford.fr/votre-concessionnaire" TargetMode="External"/><Relationship Id="rId13" Type="http://schemas.openxmlformats.org/officeDocument/2006/relationships/hyperlink" Target="https://www.ford.fr/?at_preview_token=BjOTIbL0phKQ7RelTN707Q&amp;at_preview_index=1_1&amp;at_preview_listed_activities_only=tru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ford.fr/?at_preview_token=BjOTIbL0phKQ7RelTN707Q&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67" TargetMode="External"/><Relationship Id="rId8" Type="http://schemas.openxmlformats.org/officeDocument/2006/relationships/hyperlink" Target="https://www.fo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tlHsFoiuURBnDNowdpBfII3A==">AMUW2mVTp+x8PVAiB40kBiQSu/Qm2lVzSiHp36KSiOogIHWHVha8Z5Za2qPkIe5OZPatVgYZdTS8teRJ+0joJCTQ2sZJBAzs0dslH0m3LpjlY5h/NPYI86o=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2020-01-20T12:50:00.0000000Z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