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20.28] OT-933 | XT | UK | AS | Upgrade &amp; Save Pop Up - 24 July 2020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https://jira.uhub.biz/browse/GTBEMEAOPT-933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PV Promotions Page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br w:type="textWrapping"/>
        <w:t xml:space="preserve">By adding a popup promoting and highlighting the campaigns, which runs until 30/09, we will increase visibility of the campaign itself and drive incremental leads.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 the QA link. After 8 seconds a popup will appear (see images below). The cta button will redirect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https://www.ford.co.uk/shop/price-and-locate/promotions/upgrade-and-save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Desktop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6850" cy="5829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Mobile Popup:</w:t>
        <w:br w:type="textWrapping"/>
      </w:r>
      <w:r w:rsidDel="00000000" w:rsidR="00000000" w:rsidRPr="00000000">
        <w:rPr/>
        <w:drawing>
          <wp:inline distB="114300" distT="114300" distL="114300" distR="114300">
            <wp:extent cx="3257550" cy="5667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Links: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https://www.ford.co.uk/shop/price-and-locate/promotions/personal?at_preview_token=6fR5MGpQWphNFxePir13sw&amp;at_preview_index=1_1&amp;at_preview_listed_activities_only=true</w:t>
        </w:r>
      </w:hyperlink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2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215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21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215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215C"/>
    <w:rPr>
      <w:b w:val="1"/>
      <w:bCs w:val="1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215C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215C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www.ford.co.uk/shop/price-and-locate/promotions/personal?at_preview_token=6fR5MGpQWphNFxePir13sw&amp;at_preview_index=1_1&amp;at_preview_listed_activities_only=true" TargetMode="External"/><Relationship Id="rId9" Type="http://schemas.openxmlformats.org/officeDocument/2006/relationships/hyperlink" Target="https://www.ford.co.uk/shop/price-and-locate/promotions/upgrade-and-sav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933" TargetMode="External"/><Relationship Id="rId8" Type="http://schemas.openxmlformats.org/officeDocument/2006/relationships/hyperlink" Target="https://www.for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4/7TeUNvWKBgIPEAEtA5SaQow==">AMUW2mW6e+u+q08Hx2so55soUL9k1gQyJmLQa2EmaXt1hgEjlfllwb3cbBshDx6S4LPiiA/2kFHF4vT7eX6A5Gw/U2NzqKvU3SNJKoBe8AMzp86BxiG92sc=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2020-05-18T09:43:00Z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