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rPr>
        <w:t>FADITU</w:t>
      </w:r>
    </w:p>
    <w:p>
      <w:pPr>
        <w:spacing w:after="120"/>
        <w:jc w:val="center"/>
      </w:pPr>
      <w:r>
        <w:rPr>
          <w:b/>
          <w:i w:val="0"/>
        </w:rPr>
        <w:t>CURSO DE DIREITO – 4º SEMESTRE</w:t>
      </w:r>
    </w:p>
    <w:p/>
    <w:p/>
    <w:p/>
    <w:p/>
    <w:p/>
    <w:p>
      <w:pPr>
        <w:spacing w:after="120"/>
        <w:jc w:val="center"/>
      </w:pPr>
      <w:r>
        <w:rPr>
          <w:b/>
          <w:i w:val="0"/>
        </w:rPr>
        <w:t>RYAN GRANCHELLI VALLADÃO</w:t>
      </w:r>
    </w:p>
    <w:p/>
    <w:p/>
    <w:p/>
    <w:p/>
    <w:p/>
    <w:p>
      <w:pPr>
        <w:spacing w:after="120"/>
        <w:jc w:val="center"/>
      </w:pPr>
      <w:r>
        <w:rPr>
          <w:b/>
          <w:i w:val="0"/>
        </w:rPr>
        <w:t>IMUNIDADE MATERIAL DOS VEREADORES NO SUPREMO TRIBUNAL FEDERAL</w:t>
      </w:r>
    </w:p>
    <w:p>
      <w:pPr>
        <w:spacing w:after="120"/>
        <w:jc w:val="center"/>
      </w:pPr>
      <w:r>
        <w:rPr>
          <w:b w:val="0"/>
          <w:i w:val="0"/>
        </w:rPr>
        <w:t>Análise do acórdão proferido no Recurso Extraordinário nº 600.063/SP (Tema 469 da Repercussão Geral)</w:t>
      </w:r>
    </w:p>
    <w:p/>
    <w:p/>
    <w:p/>
    <w:p/>
    <w:p/>
    <w:p/>
    <w:p/>
    <w:p/>
    <w:p>
      <w:pPr>
        <w:spacing w:after="120"/>
        <w:jc w:val="center"/>
      </w:pPr>
      <w:r>
        <w:rPr>
          <w:b w:val="0"/>
          <w:i w:val="0"/>
        </w:rPr>
        <w:t>Itu/SP</w:t>
      </w:r>
    </w:p>
    <w:p>
      <w:pPr>
        <w:spacing w:after="120"/>
        <w:jc w:val="center"/>
      </w:pPr>
      <w:r>
        <w:rPr>
          <w:b w:val="0"/>
          <w:i w:val="0"/>
        </w:rPr>
        <w:t>2026</w:t>
      </w:r>
    </w:p>
    <w:p>
      <w:r>
        <w:br w:type="page"/>
      </w:r>
    </w:p>
    <w:p>
      <w:pPr>
        <w:keepNext/>
        <w:spacing w:before="240" w:after="120"/>
      </w:pPr>
      <w:r>
        <w:rPr>
          <w:b/>
        </w:rPr>
        <w:t>1. INTRODUÇÃO</w:t>
      </w:r>
    </w:p>
    <w:p>
      <w:pPr>
        <w:spacing w:after="120"/>
        <w:ind w:firstLine="709"/>
        <w:jc w:val="both"/>
      </w:pPr>
      <w:r>
        <w:rPr>
          <w:b w:val="0"/>
          <w:i w:val="0"/>
        </w:rPr>
        <w:t>Escolhi para este trabalho o acórdão do Recurso Extraordinário nº 600.063, vindo de São Paulo, julgado pelo Plenário do Supremo Tribunal Federal. O caso trata da imunidade material dos vereadores, prevista no art. 29, VIII, da Constituição Federal, e chamou minha atenção por dois motivos. O primeiro é que a briga que deu origem ao processo é muito parecida com o que se vê em qualquer câmara municipal do interior: um vereador sobe na tribuna e ataca um adversário político com palavras pesadas. O segundo é que, por ter repercussão geral reconhecida, a decisão passou a orientar todos os juízes e tribunais do país em casos iguais, o que a torna bem mais relevante do que um julgamento isolado.</w:t>
      </w:r>
    </w:p>
    <w:p>
      <w:pPr>
        <w:spacing w:after="120"/>
        <w:ind w:firstLine="709"/>
        <w:jc w:val="both"/>
      </w:pPr>
      <w:r>
        <w:rPr>
          <w:b w:val="0"/>
          <w:i w:val="0"/>
        </w:rPr>
        <w:t>Antes de entrar no acórdão, vale lembrar o básico. A imunidade parlamentar se divide em material (inviolabilidade por opiniões, palavras e votos) e formal (regras sobre prisão e processo). Deputados federais e senadores têm as duas, conforme o art. 53 da Constituição, e os deputados estaduais as recebem pelo art. 27, § 1º. Os vereadores ficaram apenas com a material, e mesmo assim com duas limitações escritas no próprio texto: ela vale “no exercício do mandato” e “na circunscrição do Município”. Foi justamente o sentido dessas duas expressões que o STF precisou definir.</w:t>
      </w:r>
    </w:p>
    <w:p>
      <w:pPr>
        <w:spacing w:after="120"/>
        <w:ind w:firstLine="709"/>
        <w:jc w:val="both"/>
      </w:pPr>
      <w:r>
        <w:rPr>
          <w:b w:val="0"/>
          <w:i w:val="0"/>
        </w:rPr>
        <w:t>O acórdão completo, com 51 páginas, segue em arquivo PDF separado, conforme pedido na proposta do trabalho.</w:t>
      </w:r>
    </w:p>
    <w:p>
      <w:pPr>
        <w:keepNext/>
        <w:spacing w:before="240" w:after="120"/>
      </w:pPr>
      <w:r>
        <w:rPr>
          <w:b/>
        </w:rPr>
        <w:t>2. IDENTIFICAÇÃO DO PROCESSO</w:t>
      </w:r>
    </w:p>
    <w:tbl>
      <w:tblPr>
        <w:tblStyle w:val="TableGrid"/>
        <w:tblW w:type="auto" w:w="0"/>
        <w:tblLook w:firstColumn="1" w:firstRow="1" w:lastColumn="0" w:lastRow="0" w:noHBand="0" w:noVBand="1" w:val="04A0"/>
      </w:tblPr>
      <w:tblGrid>
        <w:gridCol w:w="4535"/>
        <w:gridCol w:w="4535"/>
      </w:tblGrid>
      <w:tr>
        <w:tc>
          <w:tcPr>
            <w:tcW w:type="dxa" w:w="2835"/>
          </w:tcPr>
          <w:p>
            <w:pPr>
              <w:spacing w:line="240" w:lineRule="auto"/>
              <w:ind w:firstLine="0"/>
            </w:pPr>
            <w:r>
              <w:rPr>
                <w:b/>
                <w:sz w:val="22"/>
              </w:rPr>
              <w:t>Processo</w:t>
            </w:r>
          </w:p>
        </w:tc>
        <w:tc>
          <w:tcPr>
            <w:tcW w:type="dxa" w:w="6236"/>
          </w:tcPr>
          <w:p>
            <w:pPr>
              <w:spacing w:line="240" w:lineRule="auto"/>
              <w:ind w:firstLine="0"/>
            </w:pPr>
            <w:r>
              <w:rPr>
                <w:sz w:val="22"/>
              </w:rPr>
              <w:t>Recurso Extraordinário nº 600.063/SP</w:t>
            </w:r>
          </w:p>
        </w:tc>
      </w:tr>
      <w:tr>
        <w:tc>
          <w:tcPr>
            <w:tcW w:type="dxa" w:w="2835"/>
          </w:tcPr>
          <w:p>
            <w:pPr>
              <w:spacing w:line="240" w:lineRule="auto"/>
              <w:ind w:firstLine="0"/>
            </w:pPr>
            <w:r>
              <w:rPr>
                <w:b/>
                <w:sz w:val="22"/>
              </w:rPr>
              <w:t>Tipo de ação</w:t>
            </w:r>
          </w:p>
        </w:tc>
        <w:tc>
          <w:tcPr>
            <w:tcW w:type="dxa" w:w="6236"/>
          </w:tcPr>
          <w:p>
            <w:pPr>
              <w:spacing w:line="240" w:lineRule="auto"/>
              <w:ind w:firstLine="0"/>
            </w:pPr>
            <w:r>
              <w:rPr>
                <w:sz w:val="22"/>
              </w:rPr>
              <w:t>Recurso extraordinário com repercussão geral reconhecida (Tema 469), interposto em ação ordinária de indenização por danos morais</w:t>
            </w:r>
          </w:p>
        </w:tc>
      </w:tr>
      <w:tr>
        <w:tc>
          <w:tcPr>
            <w:tcW w:type="dxa" w:w="2835"/>
          </w:tcPr>
          <w:p>
            <w:pPr>
              <w:spacing w:line="240" w:lineRule="auto"/>
              <w:ind w:firstLine="0"/>
            </w:pPr>
            <w:r>
              <w:rPr>
                <w:b/>
                <w:sz w:val="22"/>
              </w:rPr>
              <w:t>Órgão julgador</w:t>
            </w:r>
          </w:p>
        </w:tc>
        <w:tc>
          <w:tcPr>
            <w:tcW w:type="dxa" w:w="6236"/>
          </w:tcPr>
          <w:p>
            <w:pPr>
              <w:spacing w:line="240" w:lineRule="auto"/>
              <w:ind w:firstLine="0"/>
            </w:pPr>
            <w:r>
              <w:rPr>
                <w:sz w:val="22"/>
              </w:rPr>
              <w:t>Tribunal Pleno do STF</w:t>
            </w:r>
          </w:p>
        </w:tc>
      </w:tr>
      <w:tr>
        <w:tc>
          <w:tcPr>
            <w:tcW w:type="dxa" w:w="2835"/>
          </w:tcPr>
          <w:p>
            <w:pPr>
              <w:spacing w:line="240" w:lineRule="auto"/>
              <w:ind w:firstLine="0"/>
            </w:pPr>
            <w:r>
              <w:rPr>
                <w:b/>
                <w:sz w:val="22"/>
              </w:rPr>
              <w:t>Data do julgamento</w:t>
            </w:r>
          </w:p>
        </w:tc>
        <w:tc>
          <w:tcPr>
            <w:tcW w:type="dxa" w:w="6236"/>
          </w:tcPr>
          <w:p>
            <w:pPr>
              <w:spacing w:line="240" w:lineRule="auto"/>
              <w:ind w:firstLine="0"/>
            </w:pPr>
            <w:r>
              <w:rPr>
                <w:sz w:val="22"/>
              </w:rPr>
              <w:t>25 de fevereiro de 2015</w:t>
            </w:r>
          </w:p>
        </w:tc>
      </w:tr>
      <w:tr>
        <w:tc>
          <w:tcPr>
            <w:tcW w:type="dxa" w:w="2835"/>
          </w:tcPr>
          <w:p>
            <w:pPr>
              <w:spacing w:line="240" w:lineRule="auto"/>
              <w:ind w:firstLine="0"/>
            </w:pPr>
            <w:r>
              <w:rPr>
                <w:b/>
                <w:sz w:val="22"/>
              </w:rPr>
              <w:t>Publicação do acórdão</w:t>
            </w:r>
          </w:p>
        </w:tc>
        <w:tc>
          <w:tcPr>
            <w:tcW w:type="dxa" w:w="6236"/>
          </w:tcPr>
          <w:p>
            <w:pPr>
              <w:spacing w:line="240" w:lineRule="auto"/>
              <w:ind w:firstLine="0"/>
            </w:pPr>
            <w:r>
              <w:rPr>
                <w:sz w:val="22"/>
              </w:rPr>
              <w:t>DJe de 15 de maio de 2015</w:t>
            </w:r>
          </w:p>
        </w:tc>
      </w:tr>
      <w:tr>
        <w:tc>
          <w:tcPr>
            <w:tcW w:type="dxa" w:w="2835"/>
          </w:tcPr>
          <w:p>
            <w:pPr>
              <w:spacing w:line="240" w:lineRule="auto"/>
              <w:ind w:firstLine="0"/>
            </w:pPr>
            <w:r>
              <w:rPr>
                <w:b/>
                <w:sz w:val="22"/>
              </w:rPr>
              <w:t>Relator</w:t>
            </w:r>
          </w:p>
        </w:tc>
        <w:tc>
          <w:tcPr>
            <w:tcW w:type="dxa" w:w="6236"/>
          </w:tcPr>
          <w:p>
            <w:pPr>
              <w:spacing w:line="240" w:lineRule="auto"/>
              <w:ind w:firstLine="0"/>
            </w:pPr>
            <w:r>
              <w:rPr>
                <w:sz w:val="22"/>
              </w:rPr>
              <w:t>Min. Marco Aurélio (vencido)</w:t>
            </w:r>
          </w:p>
        </w:tc>
      </w:tr>
      <w:tr>
        <w:tc>
          <w:tcPr>
            <w:tcW w:type="dxa" w:w="2835"/>
          </w:tcPr>
          <w:p>
            <w:pPr>
              <w:spacing w:line="240" w:lineRule="auto"/>
              <w:ind w:firstLine="0"/>
            </w:pPr>
            <w:r>
              <w:rPr>
                <w:b/>
                <w:sz w:val="22"/>
              </w:rPr>
              <w:t>Redator do acórdão</w:t>
            </w:r>
          </w:p>
        </w:tc>
        <w:tc>
          <w:tcPr>
            <w:tcW w:type="dxa" w:w="6236"/>
          </w:tcPr>
          <w:p>
            <w:pPr>
              <w:spacing w:line="240" w:lineRule="auto"/>
              <w:ind w:firstLine="0"/>
            </w:pPr>
            <w:r>
              <w:rPr>
                <w:sz w:val="22"/>
              </w:rPr>
              <w:t>Min. Luís Roberto Barroso</w:t>
            </w:r>
          </w:p>
        </w:tc>
      </w:tr>
      <w:tr>
        <w:tc>
          <w:tcPr>
            <w:tcW w:type="dxa" w:w="2835"/>
          </w:tcPr>
          <w:p>
            <w:pPr>
              <w:spacing w:line="240" w:lineRule="auto"/>
              <w:ind w:firstLine="0"/>
            </w:pPr>
            <w:r>
              <w:rPr>
                <w:b/>
                <w:sz w:val="22"/>
              </w:rPr>
              <w:t>Recorrente</w:t>
            </w:r>
          </w:p>
        </w:tc>
        <w:tc>
          <w:tcPr>
            <w:tcW w:type="dxa" w:w="6236"/>
          </w:tcPr>
          <w:p>
            <w:pPr>
              <w:spacing w:line="240" w:lineRule="auto"/>
              <w:ind w:firstLine="0"/>
            </w:pPr>
            <w:r>
              <w:rPr>
                <w:sz w:val="22"/>
              </w:rPr>
              <w:t>José Benedito Couto Filho (vereador de Tremembé/SP)</w:t>
            </w:r>
          </w:p>
        </w:tc>
      </w:tr>
      <w:tr>
        <w:tc>
          <w:tcPr>
            <w:tcW w:type="dxa" w:w="2835"/>
          </w:tcPr>
          <w:p>
            <w:pPr>
              <w:spacing w:line="240" w:lineRule="auto"/>
              <w:ind w:firstLine="0"/>
            </w:pPr>
            <w:r>
              <w:rPr>
                <w:b/>
                <w:sz w:val="22"/>
              </w:rPr>
              <w:t>Recorrido</w:t>
            </w:r>
          </w:p>
        </w:tc>
        <w:tc>
          <w:tcPr>
            <w:tcW w:type="dxa" w:w="6236"/>
          </w:tcPr>
          <w:p>
            <w:pPr>
              <w:spacing w:line="240" w:lineRule="auto"/>
              <w:ind w:firstLine="0"/>
            </w:pPr>
            <w:r>
              <w:rPr>
                <w:sz w:val="22"/>
              </w:rPr>
              <w:t>Sebastião Carlos Ribeiro das Neves (ex-vereador de Tremembé/SP)</w:t>
            </w:r>
          </w:p>
        </w:tc>
      </w:tr>
      <w:tr>
        <w:tc>
          <w:tcPr>
            <w:tcW w:type="dxa" w:w="2835"/>
          </w:tcPr>
          <w:p>
            <w:pPr>
              <w:spacing w:line="240" w:lineRule="auto"/>
              <w:ind w:firstLine="0"/>
            </w:pPr>
            <w:r>
              <w:rPr>
                <w:b/>
                <w:sz w:val="22"/>
              </w:rPr>
              <w:t>Presidência da sessão</w:t>
            </w:r>
          </w:p>
        </w:tc>
        <w:tc>
          <w:tcPr>
            <w:tcW w:type="dxa" w:w="6236"/>
          </w:tcPr>
          <w:p>
            <w:pPr>
              <w:spacing w:line="240" w:lineRule="auto"/>
              <w:ind w:firstLine="0"/>
            </w:pPr>
            <w:r>
              <w:rPr>
                <w:sz w:val="22"/>
              </w:rPr>
              <w:t>Min. Cármen Lúcia (Vice-Presidente)</w:t>
            </w:r>
          </w:p>
        </w:tc>
      </w:tr>
      <w:tr>
        <w:tc>
          <w:tcPr>
            <w:tcW w:type="dxa" w:w="2835"/>
          </w:tcPr>
          <w:p>
            <w:pPr>
              <w:spacing w:line="240" w:lineRule="auto"/>
              <w:ind w:firstLine="0"/>
            </w:pPr>
            <w:r>
              <w:rPr>
                <w:b/>
                <w:sz w:val="22"/>
              </w:rPr>
              <w:t>Procurador-Geral da República</w:t>
            </w:r>
          </w:p>
        </w:tc>
        <w:tc>
          <w:tcPr>
            <w:tcW w:type="dxa" w:w="6236"/>
          </w:tcPr>
          <w:p>
            <w:pPr>
              <w:spacing w:line="240" w:lineRule="auto"/>
              <w:ind w:firstLine="0"/>
            </w:pPr>
            <w:r>
              <w:rPr>
                <w:sz w:val="22"/>
              </w:rPr>
              <w:t>Rodrigo Janot Monteiro de Barros</w:t>
            </w:r>
          </w:p>
        </w:tc>
      </w:tr>
      <w:tr>
        <w:tc>
          <w:tcPr>
            <w:tcW w:type="dxa" w:w="2835"/>
          </w:tcPr>
          <w:p>
            <w:pPr>
              <w:spacing w:line="240" w:lineRule="auto"/>
              <w:ind w:firstLine="0"/>
            </w:pPr>
            <w:r>
              <w:rPr>
                <w:b/>
                <w:sz w:val="22"/>
              </w:rPr>
              <w:t>Resultado</w:t>
            </w:r>
          </w:p>
        </w:tc>
        <w:tc>
          <w:tcPr>
            <w:tcW w:type="dxa" w:w="6236"/>
          </w:tcPr>
          <w:p>
            <w:pPr>
              <w:spacing w:line="240" w:lineRule="auto"/>
              <w:ind w:firstLine="0"/>
            </w:pPr>
            <w:r>
              <w:rPr>
                <w:sz w:val="22"/>
              </w:rPr>
              <w:t>Recurso provido, por maioria (7 votos a 1)</w:t>
            </w:r>
          </w:p>
        </w:tc>
      </w:tr>
    </w:tbl>
    <w:p/>
    <w:p>
      <w:pPr>
        <w:keepNext/>
        <w:spacing w:before="240" w:after="120"/>
      </w:pPr>
      <w:r>
        <w:rPr>
          <w:b/>
        </w:rPr>
        <w:t>3. OS FATOS</w:t>
      </w:r>
    </w:p>
    <w:p>
      <w:pPr>
        <w:spacing w:after="120"/>
        <w:ind w:firstLine="709"/>
        <w:jc w:val="both"/>
      </w:pPr>
      <w:r>
        <w:rPr>
          <w:b w:val="0"/>
          <w:i w:val="0"/>
        </w:rPr>
        <w:t>O processo começou como uma ação comum de indenização. Durante a 16ª Sessão Ordinária da Câmara Municipal de Tremembé, uma vereadora apresentou um ofício do ex-vereador Sebastião Carlos Ribeiro das Neves, que tinha protocolado no Ministério Público uma representação criminal contra o então prefeito da cidade. O vereador José Benedito Couto Filho, do mesmo partido do prefeito, foi à tribuna e disse, entre outras coisas, que o ex-vereador “apoiou a ladroeira, que apoiou a sem-vergonhice, que apoiou a corrupção”, que “não tem dignidade” e “não tem moral”, e pediu aos colegas que o nome dele não fosse mais falado naquela Casa. Segundo a sentença, havia mais de cinquenta pessoas assistindo.</w:t>
      </w:r>
    </w:p>
    <w:p>
      <w:pPr>
        <w:spacing w:after="120"/>
        <w:ind w:firstLine="709"/>
        <w:jc w:val="both"/>
      </w:pPr>
      <w:r>
        <w:rPr>
          <w:b w:val="0"/>
          <w:i w:val="0"/>
        </w:rPr>
        <w:t>O ex-vereador se sentiu humilhado publicamente e pediu indenização por danos morais. Em primeiro grau, o juiz julgou o pedido improcedente, aplicando a imunidade do art. 29, VIII, da Constituição. O Tribunal de Justiça de São Paulo reformou a sentença. Para a 8ª Câmara de Direito Privado, as críticas “ultrapassaram os limites do bom senso”, não tinham ligação com a atividade parlamentar e configuravam ilícito civil. O vereador foi condenado a pagar 100 salários mínimos (R$ 45.000,00 na época, segundo o voto do Min. Barroso). Contra essa decisão foi interposto o recurso extraordinário, com base no art. 102, III, “a”, da Constituição. Em agosto de 2011, o STF reconheceu a repercussão geral da matéria no Plenário Virtual, e a Procuradoria-Geral da República opinou pelo provimento do recurso.</w:t>
      </w:r>
    </w:p>
    <w:p>
      <w:pPr>
        <w:keepNext/>
        <w:spacing w:before="240" w:after="120"/>
      </w:pPr>
      <w:r>
        <w:rPr>
          <w:b/>
        </w:rPr>
        <w:t>4. COMPOSIÇÃO DO TRIBUNAL À ÉPOCA</w:t>
      </w:r>
    </w:p>
    <w:p>
      <w:pPr>
        <w:spacing w:after="120"/>
        <w:ind w:firstLine="709"/>
        <w:jc w:val="both"/>
      </w:pPr>
      <w:r>
        <w:rPr>
          <w:b w:val="0"/>
          <w:i w:val="0"/>
        </w:rPr>
        <w:t>Em fevereiro de 2015 o Supremo estava com apenas dez ministros, porque a cadeira deixada por Joaquim Barbosa, que se aposentou em julho de 2014, ainda não tinha sido ocupada. Edson Fachin só tomaria posse em junho de 2015. A composição era a seguinte:</w:t>
      </w:r>
    </w:p>
    <w:p>
      <w:pPr>
        <w:pStyle w:val="ListBullet"/>
        <w:spacing w:line="276" w:lineRule="auto"/>
      </w:pPr>
      <w:r>
        <w:t>Ricardo Lewandowski (Presidente)</w:t>
      </w:r>
    </w:p>
    <w:p>
      <w:pPr>
        <w:pStyle w:val="ListBullet"/>
        <w:spacing w:line="276" w:lineRule="auto"/>
      </w:pPr>
      <w:r>
        <w:t>Cármen Lúcia (Vice-Presidente)</w:t>
      </w:r>
    </w:p>
    <w:p>
      <w:pPr>
        <w:pStyle w:val="ListBullet"/>
        <w:spacing w:line="276" w:lineRule="auto"/>
      </w:pPr>
      <w:r>
        <w:t>Celso de Mello</w:t>
      </w:r>
    </w:p>
    <w:p>
      <w:pPr>
        <w:pStyle w:val="ListBullet"/>
        <w:spacing w:line="276" w:lineRule="auto"/>
      </w:pPr>
      <w:r>
        <w:t>Marco Aurélio</w:t>
      </w:r>
    </w:p>
    <w:p>
      <w:pPr>
        <w:pStyle w:val="ListBullet"/>
        <w:spacing w:line="276" w:lineRule="auto"/>
      </w:pPr>
      <w:r>
        <w:t>Gilmar Mendes</w:t>
      </w:r>
    </w:p>
    <w:p>
      <w:pPr>
        <w:pStyle w:val="ListBullet"/>
        <w:spacing w:line="276" w:lineRule="auto"/>
      </w:pPr>
      <w:r>
        <w:t>Dias Toffoli</w:t>
      </w:r>
    </w:p>
    <w:p>
      <w:pPr>
        <w:pStyle w:val="ListBullet"/>
        <w:spacing w:line="276" w:lineRule="auto"/>
      </w:pPr>
      <w:r>
        <w:t>Luiz Fux</w:t>
      </w:r>
    </w:p>
    <w:p>
      <w:pPr>
        <w:pStyle w:val="ListBullet"/>
        <w:spacing w:line="276" w:lineRule="auto"/>
      </w:pPr>
      <w:r>
        <w:t>Rosa Weber</w:t>
      </w:r>
    </w:p>
    <w:p>
      <w:pPr>
        <w:pStyle w:val="ListBullet"/>
        <w:spacing w:line="276" w:lineRule="auto"/>
      </w:pPr>
      <w:r>
        <w:t>Teori Zavascki</w:t>
      </w:r>
    </w:p>
    <w:p>
      <w:pPr>
        <w:pStyle w:val="ListBullet"/>
        <w:spacing w:line="276" w:lineRule="auto"/>
      </w:pPr>
      <w:r>
        <w:t>Luís Roberto Barroso</w:t>
      </w:r>
    </w:p>
    <w:p>
      <w:pPr>
        <w:spacing w:after="120"/>
        <w:ind w:firstLine="709"/>
        <w:jc w:val="both"/>
      </w:pPr>
      <w:r>
        <w:rPr>
          <w:b w:val="0"/>
          <w:i w:val="0"/>
        </w:rPr>
        <w:t>Na sessão de 25 de fevereiro de 2015 estavam ausentes, de forma justificada, o Presidente Ricardo Lewandowski, que viajou a Londres para o Global Law Summit, e o Ministro Dias Toffoli, que participava de um congresso em Barcelona. Por isso a sessão foi presidida pela Ministra Cármen Lúcia, e votaram oito ministros: Marco Aurélio, Roberto Barroso, Teori Zavascki, Rosa Weber, Luiz Fux, Gilmar Mendes, Celso de Mello e Cármen Lúcia.</w:t>
      </w:r>
    </w:p>
    <w:p>
      <w:pPr>
        <w:keepNext/>
        <w:spacing w:before="240" w:after="120"/>
      </w:pPr>
      <w:r>
        <w:rPr>
          <w:b/>
        </w:rPr>
        <w:t>5. RELATOR, RESULTADO E TESE FIXADA</w:t>
      </w:r>
    </w:p>
    <w:p>
      <w:pPr>
        <w:spacing w:after="120"/>
        <w:ind w:firstLine="709"/>
        <w:jc w:val="both"/>
      </w:pPr>
      <w:r>
        <w:rPr>
          <w:b w:val="0"/>
          <w:i w:val="0"/>
        </w:rPr>
        <w:t>O relator sorteado foi o Ministro Marco Aurélio. Como ele ficou vencido, a redação do acórdão passou para o Ministro Luís Roberto Barroso, autor do primeiro voto divergente.</w:t>
      </w:r>
    </w:p>
    <w:p>
      <w:pPr>
        <w:spacing w:after="120"/>
        <w:ind w:firstLine="709"/>
        <w:jc w:val="both"/>
      </w:pPr>
      <w:r>
        <w:rPr>
          <w:b w:val="0"/>
          <w:i w:val="0"/>
        </w:rPr>
        <w:t>O resultado foi o provimento do recurso extraordinário por 7 votos a 1. Com isso, a condenação imposta pelo TJ-SP caiu e voltou a valer, na prática, a improcedência do pedido de indenização. Do extrato de ata consta que o Tribunal, “por maioria, vencido o Ministro Marco Aurélio (Relator), decidindo o tema 469 da repercussão geral, deu provimento ao recurso extraordinário”.</w:t>
      </w:r>
    </w:p>
    <w:p>
      <w:pPr>
        <w:spacing w:after="120"/>
        <w:ind w:firstLine="709"/>
        <w:jc w:val="both"/>
      </w:pPr>
      <w:r>
        <w:rPr>
          <w:b w:val="0"/>
          <w:i w:val="0"/>
        </w:rPr>
        <w:t>A tese fixada, na redação que consta da ementa, foi esta:</w:t>
      </w:r>
    </w:p>
    <w:p>
      <w:pPr>
        <w:spacing w:line="240" w:lineRule="auto" w:after="240" w:before="120"/>
        <w:ind w:left="2268"/>
        <w:jc w:val="both"/>
      </w:pPr>
      <w:r>
        <w:rPr>
          <w:sz w:val="20"/>
        </w:rPr>
        <w:t>“Nos limites da circunscrição do Município e havendo pertinência com o exercício do mandato, os vereadores são imunes judicialmente por suas palavras, opiniões e votos.” (STF, RE 600.063/SP, Tribunal Pleno, red. p/ o acórdão Min. Roberto Barroso, j. 25.02.2015, DJe 15.05.2015)</w:t>
      </w:r>
    </w:p>
    <w:p>
      <w:pPr>
        <w:spacing w:after="120"/>
        <w:ind w:firstLine="709"/>
        <w:jc w:val="both"/>
      </w:pPr>
      <w:r>
        <w:rPr>
          <w:b w:val="0"/>
          <w:i w:val="0"/>
        </w:rPr>
        <w:t>Um detalhe curioso, que só aparece lendo o acórdão inteiro, é que o Min. Luiz Fux propôs uma tese mais ampla. Para ele, a imunidade deveria ser considerada absoluta sempre que a fala acontecesse dentro do recinto do Parlamento, sem nem precisar verificar a ligação com o mandato. Essa proposta não prevaleceu. Ficou a versão do Min. Barroso, que exige a pertinência com o mandato, mas o Plenário aceitou incluir no acórdão a observação de Fux de que eventuais excessos devem ser apurados pela própria Casa Legislativa, por quebra de decoro.</w:t>
      </w:r>
    </w:p>
    <w:p>
      <w:pPr>
        <w:keepNext/>
        <w:spacing w:before="240" w:after="120"/>
      </w:pPr>
      <w:r>
        <w:rPr>
          <w:b/>
        </w:rPr>
        <w:t>6. FUNDAMENTOS JURÍDICOS DA DECISÃO</w:t>
      </w:r>
    </w:p>
    <w:p>
      <w:pPr>
        <w:spacing w:after="120"/>
        <w:ind w:firstLine="709"/>
        <w:jc w:val="both"/>
      </w:pPr>
      <w:r>
        <w:rPr>
          <w:b w:val="0"/>
          <w:i w:val="0"/>
        </w:rPr>
        <w:t>6.1. O voto vencido. O Min. Marco Aurélio partiu da ideia de que a imunidade não é um privilégio pessoal, mas uma garantia ligada à função. Ele reconheceu que ela afasta tanto a responsabilidade penal quanto a civil, porque, nas palavras dele, “a parte mais sensível é o bolso”. Mas lembrou que o STF, depois do RE 140.867 (1996), abandonou a ideia de imunidade absoluta para vereadores e passou a exigir um elo entre a fala e o mandato. Como o TJ-SP tinha afirmado, como premissa de fato, que as ofensas não tinham relação com a atividade parlamentar, e como o recurso extraordinário não permite reexaminar provas, ele negou provimento ao recurso.</w:t>
      </w:r>
    </w:p>
    <w:p>
      <w:pPr>
        <w:spacing w:after="120"/>
        <w:ind w:firstLine="709"/>
        <w:jc w:val="both"/>
      </w:pPr>
      <w:r>
        <w:rPr>
          <w:b w:val="0"/>
          <w:i w:val="0"/>
        </w:rPr>
        <w:t>6.2. O voto condutor. O Min. Barroso divergiu, e o ponto central do voto dele é que o próprio acórdão do TJ-SP mostrava o contexto político da fala: o vereador reagiu, em sessão, a uma representação contra o prefeito que alguém queria ler na Câmara. Fiscalizar o Executivo e debater temas políticos faz parte do mandato tanto quanto votar leis. Logo, os dois requisitos do art. 29, VIII, estavam presentes: a fala foi na circunscrição do Município, porque foi dentro da Câmara, e foi no exercício do mandato, porque tratava da probidade do prefeito.</w:t>
      </w:r>
    </w:p>
    <w:p>
      <w:pPr>
        <w:spacing w:after="120"/>
        <w:ind w:firstLine="709"/>
        <w:jc w:val="both"/>
      </w:pPr>
      <w:r>
        <w:rPr>
          <w:b w:val="0"/>
          <w:i w:val="0"/>
        </w:rPr>
        <w:t>No aditamento ao voto, Barroso trouxe argumentos que achei os mais interessantes do acórdão. Ele diz que a imunidade do vereador não é “mais fraca” que a dos deputados e senadores. A diferença é só de alcance geográfico e temático (o que ele chama de alcance horizontal), e não de intensidade da proteção (alcance vertical). Também sugere evitar a palavra “absoluta” para qualquer parlamentar, já que nem um deputado federal fica imune se ofender alguém numa briga de trânsito, sem nenhuma relação com o mandato.</w:t>
      </w:r>
    </w:p>
    <w:p>
      <w:pPr>
        <w:spacing w:after="120"/>
        <w:ind w:firstLine="709"/>
        <w:jc w:val="both"/>
      </w:pPr>
      <w:r>
        <w:rPr>
          <w:b w:val="0"/>
          <w:i w:val="0"/>
        </w:rPr>
        <w:t xml:space="preserve">Outro argumento forte é o do chamado </w:t>
      </w:r>
      <w:r>
        <w:rPr>
          <w:b w:val="0"/>
          <w:i/>
        </w:rPr>
        <w:t>chilling effect</w:t>
      </w:r>
      <w:r>
        <w:rPr>
          <w:b w:val="0"/>
          <w:i w:val="0"/>
        </w:rPr>
        <w:t>, ou efeito resfriador, que vem da doutrina norte-americana da Primeira Emenda (o voto cita Daniel Farber). Se o parlamentar souber que cada frase mais dura pode virar processo de indenização, ele vai se autocensurar, e quem perde é o debate público. Por isso Barroso afirma que a imunidade é uma “proteção adicional à liberdade de expressão”. Se ela só protegesse falas educadas e não ofensivas, não serviria para nada, porque essas falas já estão cobertas pela liberdade de expressão comum.</w:t>
      </w:r>
    </w:p>
    <w:p>
      <w:pPr>
        <w:spacing w:after="120"/>
        <w:ind w:firstLine="709"/>
        <w:jc w:val="both"/>
      </w:pPr>
      <w:r>
        <w:rPr>
          <w:b w:val="0"/>
          <w:i w:val="0"/>
        </w:rPr>
        <w:t>Por fim, o voto lembra que a imunidade afasta o controle judicial, mas não deixa o parlamentar sem resposta. O art. 55, § 1º, da Constituição trata o abuso das prerrogativas como quebra de decoro parlamentar, o que pode levar até à perda do mandato. Essa responsabilização é política e fica a cargo da própria Casa.</w:t>
      </w:r>
    </w:p>
    <w:p>
      <w:pPr>
        <w:spacing w:after="120"/>
        <w:ind w:firstLine="709"/>
        <w:jc w:val="both"/>
      </w:pPr>
      <w:r>
        <w:rPr>
          <w:b w:val="0"/>
          <w:i w:val="0"/>
        </w:rPr>
        <w:t>6.3. Os demais votos. O Min. Teori Zavascki defendeu que, quando a fala acontece no ambiente parlamentar, a presunção deve favorecer a pertinência com o mandato, porque exigir essa prova em cada discurso seria uma “inversão do princípio constitucional”. A Min. Rosa Weber observou que o próprio TJ-SP, ao dizer que o vereador “deveria tê-lo expressado em termos elevados”, fez um juízo sobre o tom da fala, e não sobre a sua relação com o mandato. O Min. Gilmar Mendes seguiu na mesma linha: se o vereador falasse com bons modos, nem precisaria de imunidade.</w:t>
      </w:r>
    </w:p>
    <w:p>
      <w:pPr>
        <w:spacing w:after="120"/>
        <w:ind w:firstLine="709"/>
        <w:jc w:val="both"/>
      </w:pPr>
      <w:r>
        <w:rPr>
          <w:b w:val="0"/>
          <w:i w:val="0"/>
        </w:rPr>
        <w:t>O voto escrito do Min. Luiz Fux é o mais completo em doutrina. Ele resgata o RE 210.917, relatado pelo Min. Sepúlveda Pertence em 1998, que já tinha firmado que a inviolabilidade afasta também a responsabilidade civil. Ali são citados Pontes de Miranda, Raul Machado Horta, Carlos Maximiliano, além de autores estrangeiros como Duguit, Mortati e os irmãos Mazeaud, e a fórmula francesa de Royer-Collard segundo a qual “</w:t>
      </w:r>
      <w:r>
        <w:rPr>
          <w:b w:val="0"/>
          <w:i/>
        </w:rPr>
        <w:t>la tribune n’est responsable que de la Chambre</w:t>
      </w:r>
      <w:r>
        <w:rPr>
          <w:b w:val="0"/>
          <w:i w:val="0"/>
        </w:rPr>
        <w:t>” (a tribuna só responde perante a Câmara). Fux ainda escreveu uma frase que resume bem o espírito da decisão: a garantia “representaria muito pouco se cada juiz pudesse aquilatar, segundo seu padrão de decência e polidez, o grau de civilidade dos termos utilizados pelos representantes eleitos pelo povo”.</w:t>
      </w:r>
    </w:p>
    <w:p>
      <w:pPr>
        <w:spacing w:after="120"/>
        <w:ind w:firstLine="709"/>
        <w:jc w:val="both"/>
      </w:pPr>
      <w:r>
        <w:rPr>
          <w:b w:val="0"/>
          <w:i w:val="0"/>
        </w:rPr>
        <w:t>O Min. Celso de Mello reforçou que o discurso foi feito da tribuna e em contexto ligado ao ofício legislativo, lembrando que o abuso da prerrogativa expõe o parlamentar à “jurisdição censória” da própria Casa. A Min. Cármen Lúcia acompanhou a divergência, mas fez questão de registrar que, se não houver pertinência entre o que foi dito e a função de vereador, a responsabilização continua possível.</w:t>
      </w:r>
    </w:p>
    <w:p>
      <w:pPr>
        <w:spacing w:after="120"/>
        <w:ind w:firstLine="709"/>
        <w:jc w:val="both"/>
      </w:pPr>
      <w:r>
        <w:rPr>
          <w:b w:val="0"/>
          <w:i w:val="0"/>
        </w:rPr>
        <w:t>Quanto a fundamentos de caráter científico, não há no acórdão o uso de dados empíricos, perícias ou estudos de outras áreas, como acontece em julgamentos sobre saúde ou meio ambiente. A base é jurídica: interpretação do texto constitucional, precedentes do próprio STF, doutrina nacional e estrangeira e direito comparado. O voto do Min. Barroso menciona que a imunidade material também existe nas constituições dos Estados Unidos (art. 1º, seção 6), da França (art. 26), da Alemanha (art. 46), do Chile, da Colômbia e da África do Sul.</w:t>
      </w:r>
    </w:p>
    <w:p>
      <w:pPr>
        <w:keepNext/>
        <w:spacing w:before="240" w:after="120"/>
      </w:pPr>
      <w:r>
        <w:rPr>
          <w:b/>
        </w:rPr>
        <w:t>7. IMPORTÂNCIA DA DECISÃO</w:t>
      </w:r>
    </w:p>
    <w:p>
      <w:pPr>
        <w:spacing w:after="120"/>
        <w:ind w:firstLine="709"/>
        <w:jc w:val="both"/>
      </w:pPr>
      <w:r>
        <w:rPr>
          <w:b w:val="0"/>
          <w:i w:val="0"/>
        </w:rPr>
        <w:t>A primeira razão da importância do julgado é a repercussão geral. A tese do Tema 469 deve ser aplicada por todos os tribunais do país, e o Brasil tem mais de cinco mil municípios, cada um com sua Câmara. Ações de indenização contra vereadores por discursos na tribuna são muito comuns, e antes desse julgamento a resposta variava bastante de tribunal para tribunal, como mostra o próprio caso, em que sentença e acórdão do TJ-SP chegaram a conclusões opostas.</w:t>
      </w:r>
    </w:p>
    <w:p>
      <w:pPr>
        <w:spacing w:after="120"/>
        <w:ind w:firstLine="709"/>
        <w:jc w:val="both"/>
      </w:pPr>
      <w:r>
        <w:rPr>
          <w:b w:val="0"/>
          <w:i w:val="0"/>
        </w:rPr>
        <w:t>A segunda razão é que o acórdão deixou claro que a imunidade dos vereadores alcança também a esfera civil, e não só a penal. Esse ponto já tinha sido decidido para congressistas no RE 210.917, mas ainda gerava dúvida em relação aos vereadores, e o TJ-SP, nesse processo, tinha condenado o parlamentar justamente na esfera civil.</w:t>
      </w:r>
    </w:p>
    <w:p>
      <w:pPr>
        <w:spacing w:after="120"/>
        <w:ind w:firstLine="709"/>
        <w:jc w:val="both"/>
      </w:pPr>
      <w:r>
        <w:rPr>
          <w:b w:val="0"/>
          <w:i w:val="0"/>
        </w:rPr>
        <w:t>A terceira razão é que o STF organizou o critério de aplicação. Ficou estabelecido que a imunidade não é um cheque em branco, porque depende da pertinência com o mandato e do limite territorial. Ao mesmo tempo, o Judiciário não pode usar o “bom senso” ou a falta de educação da fala como critério para afastá-la. O controle sobre o tom pertence à Câmara, via processo por quebra de decoro.</w:t>
      </w:r>
    </w:p>
    <w:p>
      <w:pPr>
        <w:spacing w:after="120"/>
        <w:ind w:firstLine="709"/>
        <w:jc w:val="both"/>
      </w:pPr>
      <w:r>
        <w:rPr>
          <w:b w:val="0"/>
          <w:i w:val="0"/>
        </w:rPr>
        <w:t>Por último, a decisão dialoga com casos posteriores bem conhecidos. No julgamento da AP 1.044, em 2022, o STF condenou o então deputado federal Daniel Silveira por ameaças a ministros da Corte, entendendo que a imunidade não protege discursos que incitam violência contra as instituições. Lendo os dois casos juntos, dá para perceber que o limite traçado pelo Supremo não está na grosseria da fala, mas na sua desconexão com o mandato ou no seu caráter criminoso contra o próprio Estado Democrático de Direito.</w:t>
      </w:r>
    </w:p>
    <w:p>
      <w:pPr>
        <w:keepNext/>
        <w:spacing w:before="240" w:after="120"/>
      </w:pPr>
      <w:r>
        <w:rPr>
          <w:b/>
        </w:rPr>
        <w:t>8. MINHA OPINIÃO SOBRE O JULGAMENTO</w:t>
      </w:r>
    </w:p>
    <w:p>
      <w:pPr>
        <w:spacing w:after="120"/>
        <w:ind w:firstLine="709"/>
        <w:jc w:val="both"/>
      </w:pPr>
      <w:r>
        <w:rPr>
          <w:b w:val="0"/>
          <w:i w:val="0"/>
        </w:rPr>
        <w:t>Concordo com o resultado, mas tenho algumas ressalvas sobre o caminho adotado.</w:t>
      </w:r>
    </w:p>
    <w:p>
      <w:pPr>
        <w:spacing w:after="120"/>
        <w:ind w:firstLine="709"/>
        <w:jc w:val="both"/>
      </w:pPr>
      <w:r>
        <w:rPr>
          <w:b w:val="0"/>
          <w:i w:val="0"/>
        </w:rPr>
        <w:t>Concordo porque, olhando para os fatos, a fala do vereador estava claramente ligada a uma disputa política municipal. Ele estava reagindo, em plena sessão, a uma representação contra o prefeito que se queria levar ao plenário. Defender ou atacar o chefe do Executivo é uma das coisas mais típicas que um vereador faz. O TJ-SP, na verdade, não negou essa ligação. O que ele fez foi dizer que a fala foi grosseira demais e que o vereador “deveria tê-lo expressado em termos elevados”. Como bem apontou a Min. Rosa Weber, isso é um julgamento sobre a forma, e a Constituição não condiciona a imunidade à boa educação. Se o juiz puder decidir, caso a caso, o que é elegante o suficiente para ser dito na tribuna, a garantia perde o sentido, e o vereador de oposição de uma cidade pequena, que normalmente é quem mais precisa dela, vai pensar duas vezes antes de denunciar qualquer coisa.</w:t>
      </w:r>
    </w:p>
    <w:p>
      <w:pPr>
        <w:spacing w:after="120"/>
        <w:ind w:firstLine="709"/>
        <w:jc w:val="both"/>
      </w:pPr>
      <w:r>
        <w:rPr>
          <w:b w:val="0"/>
          <w:i w:val="0"/>
        </w:rPr>
        <w:t>Também acho correto o argumento de que a imunidade alcança a esfera civil. Uma condenação de 100 salários mínimos pode pesar muito mais para um vereador do interior do que uma ação penal por injúria, que muitas vezes termina em transação penal. Proteger o parlamentar só no crime e deixá-lo exposto a indenizações milionárias seria, na prática, esvaziar a garantia.</w:t>
      </w:r>
    </w:p>
    <w:p>
      <w:pPr>
        <w:spacing w:after="120"/>
        <w:ind w:firstLine="709"/>
        <w:jc w:val="both"/>
      </w:pPr>
      <w:r>
        <w:rPr>
          <w:b w:val="0"/>
          <w:i w:val="0"/>
        </w:rPr>
        <w:t>A minha primeira ressalva é que a decisão deixa sem resposta efetiva quem foi ofendido. O recorrido não era vereador naquele momento, não tinha direito de resposta na tribuna e foi chamado de apoiador de “ladroeira” diante de dezenas de pessoas, numa cidade pequena onde, como disse o próprio TJ-SP, todo mundo fica sabendo de tudo. O STF diz que o controle dos excessos cabe à Câmara, por meio do processo de quebra de decoro. Na teoria é uma boa solução, mas na prática acho difícil acreditar que ela funcione. O vereador era do partido do prefeito, e a maioria que poderia puni-lo provavelmente era a mesma que apoiava o governo. A responsabilização política depende de vontade política, e muitas vezes ela não existe. Não acho que isso justifique mudar o resultado, porque a Constituição fez uma escolha clara ao proteger a fala parlamentar, mas é um custo que precisa ser reconhecido. O próprio Min. Sepúlveda Pertence, no RE 210.917, admitiu que “as instituições democráticas têm o seu custo, às vezes, cruel”.</w:t>
      </w:r>
    </w:p>
    <w:p>
      <w:pPr>
        <w:spacing w:after="120"/>
        <w:ind w:firstLine="709"/>
        <w:jc w:val="both"/>
      </w:pPr>
      <w:r>
        <w:rPr>
          <w:b w:val="0"/>
          <w:i w:val="0"/>
        </w:rPr>
        <w:t>A segunda ressalva é sobre o critério da “pertinência com o exercício do mandato”. Ele é aberto demais. No mesmo julgamento, oito ministros olharam para os mesmos fatos e um deles concluiu que não havia pertinência, enquanto os outros sete concluíram que havia. Teori defendeu uma presunção de pertinência para falas feitas no plenário, Fux queria imunidade absoluta dentro do recinto, e Cármen Lúcia fez questão de deixar aberta a possibilidade de responsabilização quando a pertinência faltar. A tese final não escolheu claramente entre essas posições, e na minha opinião deveria ter escolhido. Eu teria preferido uma tese que dissesse expressamente que, para manifestações feitas da tribuna ou durante a sessão, a pertinência se presume, cabendo a quem alega o contrário demonstrar que a fala não tinha nenhuma relação com a atividade política, como uma ofensa por motivo puramente pessoal ou familiar. Isso daria mais segurança aos juízes de primeiro grau, que são os que mais lidam com esse tipo de caso.</w:t>
      </w:r>
    </w:p>
    <w:p>
      <w:pPr>
        <w:spacing w:after="120"/>
        <w:ind w:firstLine="709"/>
        <w:jc w:val="both"/>
      </w:pPr>
      <w:r>
        <w:rPr>
          <w:b w:val="0"/>
          <w:i w:val="0"/>
        </w:rPr>
        <w:t>Mesmo com essas observações, minha avaliação final é positiva. A decisão protege o espaço do debate político local e confia ao Legislativo a tarefa de cuidar da conduta dos seus membros, o que me parece coerente com a separação de poderes. Ela também não transforma o vereador em alguém acima da lei, porque fora do mandato ou fora do município ele responde normalmente pelo que diz. O problema que aponto está menos no resultado e mais na fragilidade dos mecanismos de controle interno das câmaras municipais, e isso é algo que não cabe ao STF resolver.</w:t>
      </w:r>
    </w:p>
    <w:p>
      <w:pPr>
        <w:keepNext/>
        <w:spacing w:before="240" w:after="120"/>
      </w:pPr>
      <w:r>
        <w:rPr>
          <w:b/>
        </w:rPr>
        <w:t>9. CONCLUSÃO</w:t>
      </w:r>
    </w:p>
    <w:p>
      <w:pPr>
        <w:spacing w:after="120"/>
        <w:ind w:firstLine="709"/>
        <w:jc w:val="both"/>
      </w:pPr>
      <w:r>
        <w:rPr>
          <w:b w:val="0"/>
          <w:i w:val="0"/>
        </w:rPr>
        <w:t>O RE 600.063/SP fixou que o vereador não pode ser responsabilizado judicialmente, nem na esfera penal nem na civil, por palavras, opiniões e votos que tenham relação com o mandato e sejam proferidos dentro do município. O caso mostra bem a tensão entre dois valores constitucionais, a liberdade do parlamentar e a honra das pessoas atingidas, e a escolha feita pelo Supremo foi dar prioridade à primeira, deixando os abusos para o controle político da própria Câmara. Considero a decisão correta, embora o critério da pertinência ainda gere insegurança e a proteção da vítima dependa de um controle interno que nem sempre funciona.</w:t>
      </w:r>
    </w:p>
    <w:p>
      <w:pPr>
        <w:keepNext/>
        <w:spacing w:before="240" w:after="120"/>
      </w:pPr>
      <w:r>
        <w:rPr>
          <w:b/>
        </w:rPr>
        <w:t>REFERÊNCIAS</w:t>
      </w:r>
    </w:p>
    <w:p>
      <w:pPr>
        <w:spacing w:after="200" w:line="240" w:lineRule="auto"/>
        <w:jc w:val="left"/>
      </w:pPr>
      <w:r>
        <w:rPr>
          <w:b w:val="0"/>
          <w:i w:val="0"/>
        </w:rPr>
        <w:t xml:space="preserve">BRASIL. Constituição (1988). </w:t>
      </w:r>
      <w:r>
        <w:rPr>
          <w:b w:val="0"/>
          <w:i/>
        </w:rPr>
        <w:t>Constituição da República Federativa do Brasil</w:t>
      </w:r>
      <w:r>
        <w:rPr>
          <w:b w:val="0"/>
          <w:i w:val="0"/>
        </w:rPr>
        <w:t>. Brasília, DF: Presidência da República. Disponível em: https://www.planalto.gov.br/ccivil_03/constituicao/constituicao.htm. Acesso em: 30 out. 2026.</w:t>
      </w:r>
    </w:p>
    <w:p>
      <w:pPr>
        <w:spacing w:after="200" w:line="240" w:lineRule="auto"/>
        <w:jc w:val="left"/>
      </w:pPr>
      <w:r>
        <w:rPr>
          <w:b w:val="0"/>
          <w:i w:val="0"/>
        </w:rPr>
        <w:t xml:space="preserve">BRASIL. Supremo Tribunal Federal. </w:t>
      </w:r>
      <w:r>
        <w:rPr>
          <w:b w:val="0"/>
          <w:i/>
        </w:rPr>
        <w:t>Recurso Extraordinário nº 600.063/SP</w:t>
      </w:r>
      <w:r>
        <w:rPr>
          <w:b w:val="0"/>
          <w:i w:val="0"/>
        </w:rPr>
        <w:t>. Tribunal Pleno. Relator: Min. Marco Aurélio. Redator do acórdão: Min. Roberto Barroso. Julgado em 25 fev. 2015. DJe, 15 maio 2015. Disponível em: https://portal.stf.jus.br/processos/detalhe.asp?incidente=2678561. Acesso em: 30 out. 2026.</w:t>
      </w:r>
    </w:p>
    <w:p>
      <w:pPr>
        <w:spacing w:after="200" w:line="240" w:lineRule="auto"/>
        <w:jc w:val="left"/>
      </w:pPr>
      <w:r>
        <w:rPr>
          <w:b w:val="0"/>
          <w:i w:val="0"/>
        </w:rPr>
        <w:t xml:space="preserve">BRASIL. Supremo Tribunal Federal. </w:t>
      </w:r>
      <w:r>
        <w:rPr>
          <w:b w:val="0"/>
          <w:i/>
        </w:rPr>
        <w:t>Tema 469 – Alcance da imunidade material concedida aos vereadores por suas opiniões, palavras e votos</w:t>
      </w:r>
      <w:r>
        <w:rPr>
          <w:b w:val="0"/>
          <w:i w:val="0"/>
        </w:rPr>
        <w:t>. Disponível em: https://portal.stf.jus.br/jurisprudenciaRepercussao/tema.asp?num=469. Acesso em: 30 out. 2026.</w:t>
      </w:r>
    </w:p>
    <w:p>
      <w:pPr>
        <w:spacing w:after="200" w:line="240" w:lineRule="auto"/>
        <w:jc w:val="left"/>
      </w:pPr>
      <w:r>
        <w:rPr>
          <w:b w:val="0"/>
          <w:i w:val="0"/>
        </w:rPr>
        <w:t xml:space="preserve">BRASIL. Supremo Tribunal Federal. </w:t>
      </w:r>
      <w:r>
        <w:rPr>
          <w:b w:val="0"/>
          <w:i/>
        </w:rPr>
        <w:t>Recurso Extraordinário nº 210.917/RJ</w:t>
      </w:r>
      <w:r>
        <w:rPr>
          <w:b w:val="0"/>
          <w:i w:val="0"/>
        </w:rPr>
        <w:t>. Tribunal Pleno. Relator: Min. Sepúlveda Pertence. Julgado em 12 ago. 1998. DJ, 18 jun. 2001.</w:t>
      </w:r>
    </w:p>
    <w:p>
      <w:pPr>
        <w:spacing w:after="200" w:line="240" w:lineRule="auto"/>
        <w:jc w:val="left"/>
      </w:pPr>
      <w:r>
        <w:rPr>
          <w:b w:val="0"/>
          <w:i w:val="0"/>
        </w:rPr>
        <w:t xml:space="preserve">BRASIL. Supremo Tribunal Federal. </w:t>
      </w:r>
      <w:r>
        <w:rPr>
          <w:b w:val="0"/>
          <w:i/>
        </w:rPr>
        <w:t>Recurso Extraordinário nº 140.867/MS</w:t>
      </w:r>
      <w:r>
        <w:rPr>
          <w:b w:val="0"/>
          <w:i w:val="0"/>
        </w:rPr>
        <w:t>. Tribunal Pleno. Redator do acórdão: Min. Maurício Corrêa. Julgado em 3 jun. 1996. DJ, 4 maio 2001.</w:t>
      </w:r>
    </w:p>
    <w:p>
      <w:pPr>
        <w:spacing w:after="200" w:line="240" w:lineRule="auto"/>
        <w:jc w:val="left"/>
      </w:pPr>
      <w:r>
        <w:rPr>
          <w:b w:val="0"/>
          <w:i w:val="0"/>
        </w:rPr>
        <w:t xml:space="preserve">BRASIL. Supremo Tribunal Federal. </w:t>
      </w:r>
      <w:r>
        <w:rPr>
          <w:b w:val="0"/>
          <w:i/>
        </w:rPr>
        <w:t>Ação Penal nº 1.044/DF</w:t>
      </w:r>
      <w:r>
        <w:rPr>
          <w:b w:val="0"/>
          <w:i w:val="0"/>
        </w:rPr>
        <w:t>. Tribunal Pleno. Relator: Min. Alexandre de Moraes. Julgado em 20 abr. 2022.</w:t>
      </w:r>
    </w:p>
    <w:p>
      <w:pPr>
        <w:spacing w:after="200" w:line="240" w:lineRule="auto"/>
        <w:jc w:val="left"/>
      </w:pPr>
      <w:r>
        <w:rPr>
          <w:b w:val="0"/>
          <w:i w:val="0"/>
        </w:rPr>
        <w:t xml:space="preserve">HORTA, Raul Machado. </w:t>
      </w:r>
      <w:r>
        <w:rPr>
          <w:b w:val="0"/>
          <w:i/>
        </w:rPr>
        <w:t>Direito constitucional</w:t>
      </w:r>
      <w:r>
        <w:rPr>
          <w:b w:val="0"/>
          <w:i w:val="0"/>
        </w:rPr>
        <w:t>. 5. ed. Belo Horizonte: Del Rey, 2010.</w:t>
      </w:r>
    </w:p>
    <w:sectPr w:rsidR="00FC693F" w:rsidRPr="0006063C" w:rsidSect="00034616">
      <w:footerReference w:type="default" r:id="rId9"/>
      <w:pgSz w:w="11906" w:h="16838"/>
      <w:pgMar w:top="1701"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