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1.png"/>
            <a:graphic>
              <a:graphicData uri="http://schemas.openxmlformats.org/drawingml/2006/picture">
                <pic:pic>
                  <pic:nvPicPr>
                    <pic:cNvPr descr="Global Rain logo" id="0" name="image1.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y4rk34fgti2j"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awew3gwddlc">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eeenau3alk8z">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rwoq8esj4p9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foxeww3uykoy">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v6yjgrs4174">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o44g6j5z7ka">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jihmvckb1tr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9n2zisl4dva">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jlaozkan7dv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ilrgomn4q68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on31ja3gvt9a">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qhra1vkawv4">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lawew3gwddlc"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Ryan Grunest</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eeenau3alk8z"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7.png"/>
            <a:graphic>
              <a:graphicData uri="http://schemas.openxmlformats.org/drawingml/2006/picture">
                <pic:pic>
                  <pic:nvPicPr>
                    <pic:cNvPr descr="Artemis Financial logo" id="0" name="image7.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rwoq8esj4p9q"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foxeww3uykoy"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Ryan Grunest</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v6yjgrs4174"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Given the security vulnerabilities, I recommend using SHA-256 for checksum validation. This will allow Artemis Financial to verify that data transmitted between the client and server has not been altered. SHA-256 is a hash function that encrypts data using a 256 bit hash value. Because it is a 256 bit hash value, there are minimal collisions, allowing higher security.</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tl w:val="0"/>
        </w:rPr>
        <w:t xml:space="preserve">Random numbers are used to generate secure keys, initialization vectors, and nonces. This allows values in cryptography to be less predictable and more secure. Symmetric keys use the same key between client and server in order to encrypt and decrypt information. Asymmetric keys use public and private keys in order to encrypt and decrypt information. </w:t>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pStyle w:val="Heading2"/>
        <w:numPr>
          <w:ilvl w:val="0"/>
          <w:numId w:val="2"/>
        </w:numPr>
        <w:spacing w:before="0" w:line="240" w:lineRule="auto"/>
        <w:ind w:left="360" w:hanging="360"/>
        <w:rPr/>
      </w:pPr>
      <w:bookmarkStart w:colFirst="0" w:colLast="0" w:name="_heading=h.3o44g6j5z7ka" w:id="6"/>
      <w:bookmarkEnd w:id="6"/>
      <w:r w:rsidDel="00000000" w:rsidR="00000000" w:rsidRPr="00000000">
        <w:rPr>
          <w:rtl w:val="0"/>
        </w:rPr>
        <w:t xml:space="preserve">Certificate Generation</w:t>
      </w:r>
    </w:p>
    <w:p w:rsidR="00000000" w:rsidDel="00000000" w:rsidP="00000000" w:rsidRDefault="00000000" w:rsidRPr="00000000" w14:paraId="00000040">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Pr>
        <w:drawing>
          <wp:inline distB="114300" distT="114300" distL="114300" distR="114300">
            <wp:extent cx="5943600" cy="23749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pStyle w:val="Heading2"/>
        <w:numPr>
          <w:ilvl w:val="0"/>
          <w:numId w:val="2"/>
        </w:numPr>
        <w:spacing w:before="0" w:line="240" w:lineRule="auto"/>
        <w:ind w:left="360" w:hanging="360"/>
        <w:rPr/>
      </w:pPr>
      <w:bookmarkStart w:colFirst="0" w:colLast="0" w:name="_heading=h.jihmvckb1trq" w:id="7"/>
      <w:bookmarkEnd w:id="7"/>
      <w:r w:rsidDel="00000000" w:rsidR="00000000" w:rsidRPr="00000000">
        <w:rPr>
          <w:rtl w:val="0"/>
        </w:rPr>
        <w:t xml:space="preserve">Deploy Cipher</w:t>
      </w:r>
    </w:p>
    <w:p w:rsidR="00000000" w:rsidDel="00000000" w:rsidP="00000000" w:rsidRDefault="00000000" w:rsidRPr="00000000" w14:paraId="00000045">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Pr>
        <w:drawing>
          <wp:inline distB="114300" distT="114300" distL="114300" distR="114300">
            <wp:extent cx="5943600" cy="12192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2"/>
        </w:numPr>
        <w:spacing w:before="0" w:line="240" w:lineRule="auto"/>
        <w:ind w:left="360" w:hanging="360"/>
        <w:rPr/>
      </w:pPr>
      <w:bookmarkStart w:colFirst="0" w:colLast="0" w:name="_heading=h.t9n2zisl4dva" w:id="8"/>
      <w:bookmarkEnd w:id="8"/>
      <w:r w:rsidDel="00000000" w:rsidR="00000000" w:rsidRPr="00000000">
        <w:rPr>
          <w:rtl w:val="0"/>
        </w:rPr>
        <w:t xml:space="preserve">Secure Communications </w:t>
      </w:r>
    </w:p>
    <w:p w:rsidR="00000000" w:rsidDel="00000000" w:rsidP="00000000" w:rsidRDefault="00000000" w:rsidRPr="00000000" w14:paraId="0000004A">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5943600" cy="1219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numPr>
          <w:ilvl w:val="0"/>
          <w:numId w:val="2"/>
        </w:numPr>
        <w:spacing w:before="0" w:line="240" w:lineRule="auto"/>
        <w:ind w:left="360" w:hanging="360"/>
        <w:rPr/>
      </w:pPr>
      <w:bookmarkStart w:colFirst="0" w:colLast="0" w:name="_heading=h.jlaozkan7dv3" w:id="9"/>
      <w:bookmarkEnd w:id="9"/>
      <w:r w:rsidDel="00000000" w:rsidR="00000000" w:rsidRPr="00000000">
        <w:rPr>
          <w:rtl w:val="0"/>
        </w:rPr>
        <w:t xml:space="preserve">Secondary Testing</w:t>
      </w:r>
    </w:p>
    <w:p w:rsidR="00000000" w:rsidDel="00000000" w:rsidP="00000000" w:rsidRDefault="00000000" w:rsidRPr="00000000" w14:paraId="0000004D">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5943600" cy="2463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5943600" cy="35687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numPr>
          <w:ilvl w:val="0"/>
          <w:numId w:val="2"/>
        </w:numPr>
        <w:spacing w:before="0" w:line="240" w:lineRule="auto"/>
        <w:ind w:left="360" w:hanging="360"/>
        <w:rPr/>
      </w:pPr>
      <w:bookmarkStart w:colFirst="0" w:colLast="0" w:name="_heading=h.ilrgomn4q689" w:id="10"/>
      <w:bookmarkEnd w:id="10"/>
      <w:r w:rsidDel="00000000" w:rsidR="00000000" w:rsidRPr="00000000">
        <w:rPr>
          <w:rtl w:val="0"/>
        </w:rPr>
        <w:t xml:space="preserve">Functional Testing</w:t>
      </w:r>
    </w:p>
    <w:p w:rsidR="00000000" w:rsidDel="00000000" w:rsidP="00000000" w:rsidRDefault="00000000" w:rsidRPr="00000000" w14:paraId="00000052">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5943600" cy="29083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pStyle w:val="Heading2"/>
        <w:numPr>
          <w:ilvl w:val="0"/>
          <w:numId w:val="2"/>
        </w:numPr>
        <w:spacing w:before="0" w:line="240" w:lineRule="auto"/>
        <w:ind w:left="360" w:hanging="360"/>
        <w:rPr/>
      </w:pPr>
      <w:bookmarkStart w:colFirst="0" w:colLast="0" w:name="_heading=h.on31ja3gvt9a" w:id="11"/>
      <w:bookmarkEnd w:id="11"/>
      <w:r w:rsidDel="00000000" w:rsidR="00000000" w:rsidRPr="00000000">
        <w:rPr>
          <w:rtl w:val="0"/>
        </w:rPr>
        <w:t xml:space="preserve">Summary</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I used cryptographic hashing using the SHA-256 hash algorithm to generate a checksum. This demonstrates that the application is capable of securely handling data. The application is also using SSL encryption via a self signed certificate. This allows the client and the server to securely communicate to each other cryptographically. </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2"/>
        </w:numPr>
        <w:spacing w:before="0" w:line="240" w:lineRule="auto"/>
        <w:ind w:left="360" w:hanging="360"/>
        <w:rPr>
          <w:rFonts w:ascii="Calibri" w:cs="Calibri" w:eastAsia="Calibri" w:hAnsi="Calibri"/>
        </w:rPr>
      </w:pPr>
      <w:bookmarkStart w:colFirst="0" w:colLast="0" w:name="_heading=h.2qhra1vkawv4"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This application now uses an industry standard cryptographic hash algorithm, SHA-256, to ensure data integrity. On top of that, the application is now serving data via HTTPS, ensuring that the client and server communicate securely. Using OWASP’s dependency check, I was able to verify that no new vulnerabilities were created when implementing HTTPS and SHA-256. I also implemented a try / catch block in order to log any potential errors if the hash function was not available.</w:t>
      </w:r>
    </w:p>
    <w:sectPr>
      <w:headerReference r:id="rId14" w:type="default"/>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nNj3EXvaCSHQDNEkP5Z0XWDs6g==">CgMxLjAyDmgueTRyazM0Zmd0aTJqMg5oLmxhd2V3M2d3ZGRsYzIOaC5lZWVuYXUzYWxrOHoyDmgucndvcThlc2o0cDlxMg5oLmZveGV3dzN1eWtveTINaC52NnlqZ3JzNDE3NDIOaC4zbzQ0ZzZqNXo3a2EyDmguamlobXZja2IxdHJxMg5oLnQ5bjJ6aXNsNGR2YTIOaC5qbGFvemthbjdkdjMyDmguaWxyZ29tbjRxNjg5Mg5oLm9uMzFqYTNndnQ5YTIOaC4ycWhyYTF2a2F3djQ4AHIhMVRSWHBxSzEteTRPQ2lyYWJTZWhJWWV5RkRsY281UU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