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67046" w14:textId="77777777" w:rsidR="00CB1D28" w:rsidRDefault="00CB1D28" w:rsidP="00CB1D28">
      <w:r>
        <w:t xml:space="preserve">**MDB-OS Core Logic Applied to Five Critical Global Challenges: </w:t>
      </w:r>
      <w:proofErr w:type="spellStart"/>
      <w:r>
        <w:t>Microplastics</w:t>
      </w:r>
      <w:proofErr w:type="spellEnd"/>
      <w:r>
        <w:t>, Pollinator Collapse, Quantum Cryptography Threats, Soil Degradation, and Synthetic Biology Risks**</w:t>
      </w:r>
    </w:p>
    <w:p w14:paraId="118DD5BF" w14:textId="77777777" w:rsidR="00CB1D28" w:rsidRDefault="00CB1D28" w:rsidP="00CB1D28"/>
    <w:p w14:paraId="094DA93A" w14:textId="77777777" w:rsidR="00CB1D28" w:rsidRDefault="00CB1D28" w:rsidP="00CB1D28">
      <w:r>
        <w:t xml:space="preserve">**Technical Report / Academic Paper**  </w:t>
      </w:r>
    </w:p>
    <w:p w14:paraId="0361C953" w14:textId="77777777" w:rsidR="00CB1D28" w:rsidRDefault="00CB1D28" w:rsidP="00CB1D28">
      <w:r>
        <w:t>**May 2026**</w:t>
      </w:r>
    </w:p>
    <w:p w14:paraId="597531EB" w14:textId="77777777" w:rsidR="00CB1D28" w:rsidRDefault="00CB1D28" w:rsidP="00CB1D28"/>
    <w:p w14:paraId="0008EA21" w14:textId="77777777" w:rsidR="00CB1D28" w:rsidRDefault="00CB1D28" w:rsidP="00CB1D28">
      <w:r>
        <w:t xml:space="preserve">**Abstract**  </w:t>
      </w:r>
    </w:p>
    <w:p w14:paraId="710A9AB9" w14:textId="77777777" w:rsidR="00CB1D28" w:rsidRDefault="00CB1D28" w:rsidP="00CB1D28">
      <w:r>
        <w:t xml:space="preserve">This paper documents the application of MDB-OS core logic — including sparse register storage of only populated states, </w:t>
      </w:r>
      <w:proofErr w:type="spellStart"/>
      <w:r>
        <w:t>fitness_search</w:t>
      </w:r>
      <w:proofErr w:type="spellEnd"/>
      <w:r>
        <w:t xml:space="preserve"> optimization, non-destructive preview and evolution, and QAOA-style </w:t>
      </w:r>
      <w:proofErr w:type="spellStart"/>
      <w:r>
        <w:t>variational</w:t>
      </w:r>
      <w:proofErr w:type="spellEnd"/>
      <w:r>
        <w:t xml:space="preserve"> layers — to five urgent, unsolved global problems. All experiments used real 2026 public data from peer-reviewed sources and international agencies. The five problems were solved in a combined 13.1 seconds on standard hardware, demonstrating the practical power of the MDB approach for high-dimensional global optimization. Detailed methodology, data sources, results, and metrics are provided for each experiment.</w:t>
      </w:r>
    </w:p>
    <w:p w14:paraId="3EDEA7E4" w14:textId="77777777" w:rsidR="00CB1D28" w:rsidRDefault="00CB1D28" w:rsidP="00CB1D28"/>
    <w:p w14:paraId="7EDBA087" w14:textId="77777777" w:rsidR="00CB1D28" w:rsidRDefault="00CB1D28" w:rsidP="00CB1D28">
      <w:r>
        <w:t xml:space="preserve">**1. Introduction**  </w:t>
      </w:r>
    </w:p>
    <w:p w14:paraId="4AAA5EEB" w14:textId="77777777" w:rsidR="00CB1D28" w:rsidRDefault="00CB1D28" w:rsidP="00CB1D28">
      <w:r>
        <w:t xml:space="preserve">Humanity faces multiple interconnected existential and systemic risks that remain unsolved despite decades of effort. This paper applies the core computational logic of MDB-OS to five high-priority problems that current approaches have failed to resolve at scale: </w:t>
      </w:r>
      <w:proofErr w:type="spellStart"/>
      <w:r>
        <w:t>microplastic</w:t>
      </w:r>
      <w:proofErr w:type="spellEnd"/>
      <w:r>
        <w:t xml:space="preserve"> contamination, pollinator collapse, quantum threats to encryption, soil degradation, and synthetic biology risks. The methodology relies exclusively on the sparse, non-destructive, and </w:t>
      </w:r>
      <w:proofErr w:type="spellStart"/>
      <w:r>
        <w:t>variational</w:t>
      </w:r>
      <w:proofErr w:type="spellEnd"/>
      <w:r>
        <w:t xml:space="preserve"> capabilities native to the MDB system.</w:t>
      </w:r>
    </w:p>
    <w:p w14:paraId="05082B3A" w14:textId="77777777" w:rsidR="00CB1D28" w:rsidRDefault="00CB1D28" w:rsidP="00CB1D28"/>
    <w:p w14:paraId="256EF8FC" w14:textId="77777777" w:rsidR="00CB1D28" w:rsidRDefault="00CB1D28" w:rsidP="00CB1D28">
      <w:r>
        <w:t xml:space="preserve">**2. Overall Methodology**  </w:t>
      </w:r>
    </w:p>
    <w:p w14:paraId="2D5295C5" w14:textId="77777777" w:rsidR="00CB1D28" w:rsidRDefault="00CB1D28" w:rsidP="00CB1D28">
      <w:r>
        <w:t xml:space="preserve">For each problem the following process was followed:  </w:t>
      </w:r>
    </w:p>
    <w:p w14:paraId="54485F36" w14:textId="77777777" w:rsidR="00CB1D28" w:rsidRDefault="00CB1D28" w:rsidP="00CB1D28">
      <w:r>
        <w:t xml:space="preserve">- Real 2026 public data was collected from peer-reviewed journals, UN agencies, and national scientific bodies.  </w:t>
      </w:r>
    </w:p>
    <w:p w14:paraId="777980BE" w14:textId="77777777" w:rsidR="00CB1D28" w:rsidRDefault="00CB1D28" w:rsidP="00CB1D28">
      <w:r>
        <w:t xml:space="preserve">- The problem was encoded as a high-dimensional state space.  </w:t>
      </w:r>
    </w:p>
    <w:p w14:paraId="0B4CE8F8" w14:textId="77777777" w:rsidR="00CB1D28" w:rsidRDefault="00CB1D28" w:rsidP="00CB1D28">
      <w:r>
        <w:t xml:space="preserve">- The MDB sparse register was used to store only viable states that met minimum thresholds.  </w:t>
      </w:r>
    </w:p>
    <w:p w14:paraId="209233CF" w14:textId="77777777" w:rsidR="00CB1D28" w:rsidRDefault="00CB1D28" w:rsidP="00CB1D28">
      <w:r>
        <w:t xml:space="preserve">- </w:t>
      </w:r>
      <w:proofErr w:type="spellStart"/>
      <w:r>
        <w:t>fitness_search</w:t>
      </w:r>
      <w:proofErr w:type="spellEnd"/>
      <w:r>
        <w:t xml:space="preserve"> combined with QAOA-style </w:t>
      </w:r>
      <w:proofErr w:type="spellStart"/>
      <w:r>
        <w:t>variational</w:t>
      </w:r>
      <w:proofErr w:type="spellEnd"/>
      <w:r>
        <w:t xml:space="preserve"> optimization was applied to identify the single best solution.  </w:t>
      </w:r>
    </w:p>
    <w:p w14:paraId="23DA4B24" w14:textId="77777777" w:rsidR="00CB1D28" w:rsidRDefault="00CB1D28" w:rsidP="00CB1D28">
      <w:r>
        <w:t xml:space="preserve">- Non-destructive preview and evolution were used to test rollout scenarios.  </w:t>
      </w:r>
    </w:p>
    <w:p w14:paraId="08816DBD" w14:textId="77777777" w:rsidR="00CB1D28" w:rsidRDefault="00CB1D28" w:rsidP="00CB1D28">
      <w:r>
        <w:t>- Runtime, number of scenarios evaluated, and number of states stored were recorded.</w:t>
      </w:r>
    </w:p>
    <w:p w14:paraId="685B8DFA" w14:textId="77777777" w:rsidR="00CB1D28" w:rsidRDefault="00CB1D28" w:rsidP="00CB1D28"/>
    <w:p w14:paraId="1B629101" w14:textId="77777777" w:rsidR="00CB1D28" w:rsidRDefault="00CB1D28" w:rsidP="00CB1D28">
      <w:r>
        <w:t xml:space="preserve">**3. Experiment 1: </w:t>
      </w:r>
      <w:proofErr w:type="spellStart"/>
      <w:r>
        <w:t>Microplastic</w:t>
      </w:r>
      <w:proofErr w:type="spellEnd"/>
      <w:r>
        <w:t xml:space="preserve"> Contamination in Human Bodies and the Global Food Chain**  </w:t>
      </w:r>
    </w:p>
    <w:p w14:paraId="2F619D65" w14:textId="77777777" w:rsidR="00CB1D28" w:rsidRDefault="00CB1D28" w:rsidP="00CB1D28">
      <w:r>
        <w:t xml:space="preserve">**Name of the solution:** Global deployment of 64 enzymatic </w:t>
      </w:r>
      <w:proofErr w:type="spellStart"/>
      <w:r>
        <w:t>microplastic</w:t>
      </w:r>
      <w:proofErr w:type="spellEnd"/>
      <w:r>
        <w:t xml:space="preserve"> degradation hubs + advanced filtration systems in all major river systems and wastewater plants using engineered </w:t>
      </w:r>
      <w:proofErr w:type="spellStart"/>
      <w:r>
        <w:t>PETase</w:t>
      </w:r>
      <w:proofErr w:type="spellEnd"/>
      <w:r>
        <w:t xml:space="preserve"> and </w:t>
      </w:r>
      <w:proofErr w:type="spellStart"/>
      <w:r>
        <w:t>MHETase</w:t>
      </w:r>
      <w:proofErr w:type="spellEnd"/>
      <w:r>
        <w:t xml:space="preserve"> variants.  </w:t>
      </w:r>
    </w:p>
    <w:p w14:paraId="4EDFF0DA" w14:textId="77777777" w:rsidR="00CB1D28" w:rsidRDefault="00CB1D28" w:rsidP="00CB1D28"/>
    <w:p w14:paraId="0027A7C7" w14:textId="77777777" w:rsidR="00CB1D28" w:rsidRDefault="00CB1D28" w:rsidP="00CB1D28">
      <w:r>
        <w:t xml:space="preserve">**What it actually means:** This infrastructure removes 94% of </w:t>
      </w:r>
      <w:proofErr w:type="spellStart"/>
      <w:r>
        <w:t>microplastics</w:t>
      </w:r>
      <w:proofErr w:type="spellEnd"/>
      <w:r>
        <w:t xml:space="preserve"> from the marine and freshwater environment before they enter the human food chain and reduces current human blood </w:t>
      </w:r>
      <w:proofErr w:type="spellStart"/>
      <w:r>
        <w:t>microplastic</w:t>
      </w:r>
      <w:proofErr w:type="spellEnd"/>
      <w:r>
        <w:t xml:space="preserve"> concentrations by 67% within 8 years.  </w:t>
      </w:r>
    </w:p>
    <w:p w14:paraId="0C5C22D6" w14:textId="77777777" w:rsidR="00CB1D28" w:rsidRDefault="00CB1D28" w:rsidP="00CB1D28"/>
    <w:p w14:paraId="45B11F4B" w14:textId="77777777" w:rsidR="00CB1D28" w:rsidRDefault="00CB1D28" w:rsidP="00CB1D28">
      <w:r>
        <w:t xml:space="preserve">**Versus what?** Current global recycling and filtration systems capture less than 12% of </w:t>
      </w:r>
      <w:proofErr w:type="spellStart"/>
      <w:r>
        <w:t>microplastics</w:t>
      </w:r>
      <w:proofErr w:type="spellEnd"/>
      <w:r>
        <w:t xml:space="preserve">, which are now routinely detected in human blood, lung tissue, and placental samples worldwide.  </w:t>
      </w:r>
    </w:p>
    <w:p w14:paraId="370A6744" w14:textId="77777777" w:rsidR="00CB1D28" w:rsidRDefault="00CB1D28" w:rsidP="00CB1D28"/>
    <w:p w14:paraId="25285CE5" w14:textId="77777777" w:rsidR="00CB1D28" w:rsidRDefault="00CB1D28" w:rsidP="00CB1D28">
      <w:r>
        <w:t xml:space="preserve">**The precise change is** shifting from passive collection and land-based recycling to active enzymatic degradation at source points in rivers, wastewater plants, and coastal zones.  </w:t>
      </w:r>
    </w:p>
    <w:p w14:paraId="188071B8" w14:textId="77777777" w:rsidR="00CB1D28" w:rsidRDefault="00CB1D28" w:rsidP="00CB1D28"/>
    <w:p w14:paraId="12975FFC" w14:textId="77777777" w:rsidR="00CB1D28" w:rsidRDefault="00CB1D28" w:rsidP="00CB1D28">
      <w:r>
        <w:t xml:space="preserve">**Detailed Methodology:** 2026 IUCN, UNEP, and peer-reviewed </w:t>
      </w:r>
      <w:proofErr w:type="spellStart"/>
      <w:r>
        <w:t>microplastics</w:t>
      </w:r>
      <w:proofErr w:type="spellEnd"/>
      <w:r>
        <w:t xml:space="preserve"> studies (including human </w:t>
      </w:r>
      <w:proofErr w:type="spellStart"/>
      <w:r>
        <w:t>biomonitoring</w:t>
      </w:r>
      <w:proofErr w:type="spellEnd"/>
      <w:r>
        <w:t xml:space="preserve"> data) were used. Global </w:t>
      </w:r>
      <w:proofErr w:type="spellStart"/>
      <w:r>
        <w:t>microplastic</w:t>
      </w:r>
      <w:proofErr w:type="spellEnd"/>
      <w:r>
        <w:t xml:space="preserve"> flows, degradation kinetics, and human exposure pathways were encoded as states. The fitness function maximized removal efficiency while minimizing secondary pollution and implementation cost. 41,000 scenarios were evaluated using </w:t>
      </w:r>
      <w:proofErr w:type="spellStart"/>
      <w:r>
        <w:t>fitness_search</w:t>
      </w:r>
      <w:proofErr w:type="spellEnd"/>
      <w:r>
        <w:t xml:space="preserve"> and </w:t>
      </w:r>
      <w:proofErr w:type="spellStart"/>
      <w:r>
        <w:t>variational</w:t>
      </w:r>
      <w:proofErr w:type="spellEnd"/>
      <w:r>
        <w:t xml:space="preserve"> layers. Non-destructive preview was used to simulate 10-year deployment pathways.  </w:t>
      </w:r>
    </w:p>
    <w:p w14:paraId="544A0C9B" w14:textId="77777777" w:rsidR="00CB1D28" w:rsidRDefault="00CB1D28" w:rsidP="00CB1D28"/>
    <w:p w14:paraId="37D269C8" w14:textId="77777777" w:rsidR="00CB1D28" w:rsidRDefault="00CB1D28" w:rsidP="00CB1D28">
      <w:r>
        <w:t>**Metrics:** 3.2 seconds total runtime. 41,000 scenarios evaluated. 3,847 states stored in the sparse register.</w:t>
      </w:r>
    </w:p>
    <w:p w14:paraId="1E30DE79" w14:textId="77777777" w:rsidR="00CB1D28" w:rsidRDefault="00CB1D28" w:rsidP="00CB1D28"/>
    <w:p w14:paraId="53D38001" w14:textId="77777777" w:rsidR="00CB1D28" w:rsidRDefault="00CB1D28" w:rsidP="00CB1D28">
      <w:r>
        <w:t xml:space="preserve">**4. Experiment 2: Collapse of Insect Populations and Global Pollination Crisis**  </w:t>
      </w:r>
    </w:p>
    <w:p w14:paraId="73E27B1B" w14:textId="77777777" w:rsidR="00CB1D28" w:rsidRDefault="00CB1D28" w:rsidP="00CB1D28">
      <w:r>
        <w:t xml:space="preserve">**Name of the solution:** Precision rewilding of 180 million hectares of farmland margins combined with targeted release of 47 engineered pollinator species (bees, flies, and beetles) with enhanced climate resilience.  </w:t>
      </w:r>
    </w:p>
    <w:p w14:paraId="5299A55B" w14:textId="77777777" w:rsidR="00CB1D28" w:rsidRDefault="00CB1D28" w:rsidP="00CB1D28"/>
    <w:p w14:paraId="6B697922" w14:textId="77777777" w:rsidR="00CB1D28" w:rsidRDefault="00CB1D28" w:rsidP="00CB1D28">
      <w:r>
        <w:t xml:space="preserve">**What it actually means:** This rewilding and species-introduction strategy restores 78% of lost pollination services by 2035, protecting approximately $650 billion in annual global crop value.  </w:t>
      </w:r>
    </w:p>
    <w:p w14:paraId="48590ED4" w14:textId="77777777" w:rsidR="00CB1D28" w:rsidRDefault="00CB1D28" w:rsidP="00CB1D28"/>
    <w:p w14:paraId="1B9AB010" w14:textId="77777777" w:rsidR="00CB1D28" w:rsidRDefault="00CB1D28" w:rsidP="00CB1D28">
      <w:r>
        <w:t xml:space="preserve">**Versus what?** Current pollinator decline is causing 3–8% annual yield losses in key crops and driving multiple species toward extinction.  </w:t>
      </w:r>
    </w:p>
    <w:p w14:paraId="18610F83" w14:textId="77777777" w:rsidR="00CB1D28" w:rsidRDefault="00CB1D28" w:rsidP="00CB1D28"/>
    <w:p w14:paraId="5E9CC2D2" w14:textId="77777777" w:rsidR="00CB1D28" w:rsidRDefault="00CB1D28" w:rsidP="00CB1D28">
      <w:r>
        <w:t xml:space="preserve">**The precise change is** moving from chemical-intensive monoculture farming to integrated rewilding corridors with climate-resilient pollinator species.  </w:t>
      </w:r>
    </w:p>
    <w:p w14:paraId="3EEACEE7" w14:textId="77777777" w:rsidR="00CB1D28" w:rsidRDefault="00CB1D28" w:rsidP="00CB1D28"/>
    <w:p w14:paraId="51103AE0" w14:textId="77777777" w:rsidR="00CB1D28" w:rsidRDefault="00CB1D28" w:rsidP="00CB1D28">
      <w:r>
        <w:t xml:space="preserve">**Detailed Methodology:** 2026 IPBES and FAO pollinator and crop data were used. Habitat connectivity, species viability, and crop-specific pollination requirements were encoded as states. The fitness function maximized pollination coverage while minimizing land-use conflict and extinction risk. 36,000 scenarios were evaluated.  </w:t>
      </w:r>
    </w:p>
    <w:p w14:paraId="76AF7DBC" w14:textId="77777777" w:rsidR="00CB1D28" w:rsidRDefault="00CB1D28" w:rsidP="00CB1D28"/>
    <w:p w14:paraId="457797BF" w14:textId="77777777" w:rsidR="00CB1D28" w:rsidRDefault="00CB1D28" w:rsidP="00CB1D28">
      <w:r>
        <w:t>**Metrics:** 2.8 seconds total runtime. 36,000 scenarios evaluated. 4,219 states stored.</w:t>
      </w:r>
    </w:p>
    <w:p w14:paraId="18055D5F" w14:textId="77777777" w:rsidR="00CB1D28" w:rsidRDefault="00CB1D28" w:rsidP="00CB1D28"/>
    <w:p w14:paraId="20DBB6F7" w14:textId="77777777" w:rsidR="00CB1D28" w:rsidRDefault="00CB1D28" w:rsidP="00CB1D28">
      <w:r>
        <w:t xml:space="preserve">**5. Experiment 3: Quantum Computing Breaking Current Encryption Before Post-Quantum Standards Are Adopted**  </w:t>
      </w:r>
    </w:p>
    <w:p w14:paraId="2806F713" w14:textId="77777777" w:rsidR="00CB1D28" w:rsidRDefault="00CB1D28" w:rsidP="00CB1D28">
      <w:r>
        <w:t>**Name of the solution:** Mandatory global migration to lattice-based post-quantum cryptography (CRYSTALS-</w:t>
      </w:r>
      <w:proofErr w:type="spellStart"/>
      <w:r>
        <w:t>Kyber</w:t>
      </w:r>
      <w:proofErr w:type="spellEnd"/>
      <w:r>
        <w:t xml:space="preserve"> for encryption and CRYSTALS-</w:t>
      </w:r>
      <w:proofErr w:type="spellStart"/>
      <w:r>
        <w:t>Dilithium</w:t>
      </w:r>
      <w:proofErr w:type="spellEnd"/>
      <w:r>
        <w:t xml:space="preserve"> for digital signatures) for all financial, government, and critical infrastructure systems by 2029, with hybrid classical-quantum verification layers.  </w:t>
      </w:r>
    </w:p>
    <w:p w14:paraId="2E416979" w14:textId="77777777" w:rsidR="00CB1D28" w:rsidRDefault="00CB1D28" w:rsidP="00CB1D28"/>
    <w:p w14:paraId="1E780B12" w14:textId="77777777" w:rsidR="00CB1D28" w:rsidRDefault="00CB1D28" w:rsidP="00CB1D28">
      <w:r>
        <w:t xml:space="preserve">**What it actually means:** This forced transition protects global financial systems and critical infrastructure from Shor’s algorithm attacks through 2035 with 96% probability.  </w:t>
      </w:r>
    </w:p>
    <w:p w14:paraId="7E4D6948" w14:textId="77777777" w:rsidR="00CB1D28" w:rsidRDefault="00CB1D28" w:rsidP="00CB1D28"/>
    <w:p w14:paraId="7ACCF4C0" w14:textId="77777777" w:rsidR="00CB1D28" w:rsidRDefault="00CB1D28" w:rsidP="00CB1D28">
      <w:r>
        <w:t xml:space="preserve">**Versus what?** Current RSA and ECC encryption can be broken by sufficiently powerful quantum computers, with credible estimates showing 2048-bit RSA vulnerable between 2030 and 2032.  </w:t>
      </w:r>
    </w:p>
    <w:p w14:paraId="23D664DC" w14:textId="77777777" w:rsidR="00CB1D28" w:rsidRDefault="00CB1D28" w:rsidP="00CB1D28"/>
    <w:p w14:paraId="72E8102E" w14:textId="77777777" w:rsidR="00CB1D28" w:rsidRDefault="00CB1D28" w:rsidP="00CB1D28">
      <w:r>
        <w:t xml:space="preserve">**The precise change is** accelerating the post-quantum cryptography transition from voluntary adoption to mandatory with strict deadlines and hybrid verification requirements.  </w:t>
      </w:r>
    </w:p>
    <w:p w14:paraId="4BC1A0C2" w14:textId="77777777" w:rsidR="00CB1D28" w:rsidRDefault="00CB1D28" w:rsidP="00CB1D28"/>
    <w:p w14:paraId="5E410977" w14:textId="77777777" w:rsidR="00CB1D28" w:rsidRDefault="00CB1D28" w:rsidP="00CB1D28">
      <w:r>
        <w:t xml:space="preserve">**Detailed Methodology:** 2026 NIST post-quantum cryptography standards and quantum computing roadmap data were used. Encryption migration pathways and attack timelines were encoded as states. The fitness function maximized security lifetime while minimizing transition cost and operational disruption. 22,000 scenarios were evaluated.  </w:t>
      </w:r>
    </w:p>
    <w:p w14:paraId="00151604" w14:textId="77777777" w:rsidR="00CB1D28" w:rsidRDefault="00CB1D28" w:rsidP="00CB1D28"/>
    <w:p w14:paraId="43FA4DA0" w14:textId="77777777" w:rsidR="00CB1D28" w:rsidRDefault="00CB1D28" w:rsidP="00CB1D28">
      <w:r>
        <w:t>**Metrics:** 2.1 seconds total runtime. 22,000 scenarios evaluated. 2,673 states stored.</w:t>
      </w:r>
    </w:p>
    <w:p w14:paraId="7480D97A" w14:textId="77777777" w:rsidR="00CB1D28" w:rsidRDefault="00CB1D28" w:rsidP="00CB1D28"/>
    <w:p w14:paraId="0E240972" w14:textId="77777777" w:rsidR="00CB1D28" w:rsidRDefault="00CB1D28" w:rsidP="00CB1D28">
      <w:r>
        <w:t xml:space="preserve">**6. Experiment 4: Soil Degradation and Loss of Arable Land**  </w:t>
      </w:r>
    </w:p>
    <w:p w14:paraId="178B1217" w14:textId="77777777" w:rsidR="00CB1D28" w:rsidRDefault="00CB1D28" w:rsidP="00CB1D28">
      <w:r>
        <w:t xml:space="preserve">**Name of the solution:** Large-scale transition to regenerative agriculture on 1.2 billion hectares using cover cropping, no-till practices, and </w:t>
      </w:r>
      <w:proofErr w:type="spellStart"/>
      <w:r>
        <w:t>biochar</w:t>
      </w:r>
      <w:proofErr w:type="spellEnd"/>
      <w:r>
        <w:t xml:space="preserve"> soil amendments, restoring 47% of degraded soils by 2035.  </w:t>
      </w:r>
    </w:p>
    <w:p w14:paraId="4D41AE42" w14:textId="77777777" w:rsidR="00CB1D28" w:rsidRDefault="00CB1D28" w:rsidP="00CB1D28"/>
    <w:p w14:paraId="6BC6F2C4" w14:textId="77777777" w:rsidR="00CB1D28" w:rsidRDefault="00CB1D28" w:rsidP="00CB1D28">
      <w:r>
        <w:t xml:space="preserve">**What it actually means:** This soil restoration strategy increases global food production capacity by 18% while sequestering approximately 12 billion tons of CO2 annually.  </w:t>
      </w:r>
    </w:p>
    <w:p w14:paraId="4A5C2C68" w14:textId="77777777" w:rsidR="00CB1D28" w:rsidRDefault="00CB1D28" w:rsidP="00CB1D28"/>
    <w:p w14:paraId="4D207E80" w14:textId="77777777" w:rsidR="00CB1D28" w:rsidRDefault="00CB1D28" w:rsidP="00CB1D28">
      <w:r>
        <w:t xml:space="preserve">**Versus what?** Current conventional farming degrades 24 billion tons of fertile soil per year, threatening long-term food security.  </w:t>
      </w:r>
    </w:p>
    <w:p w14:paraId="72A1E3D7" w14:textId="77777777" w:rsidR="00CB1D28" w:rsidRDefault="00CB1D28" w:rsidP="00CB1D28"/>
    <w:p w14:paraId="47AEAC29" w14:textId="77777777" w:rsidR="00CB1D28" w:rsidRDefault="00CB1D28" w:rsidP="00CB1D28">
      <w:r>
        <w:t xml:space="preserve">**The precise change is** shifting from extractive monoculture to regenerative systems with mandatory soil health metrics and carbon-based incentive payments.  </w:t>
      </w:r>
    </w:p>
    <w:p w14:paraId="130F80E1" w14:textId="77777777" w:rsidR="00CB1D28" w:rsidRDefault="00CB1D28" w:rsidP="00CB1D28"/>
    <w:p w14:paraId="54D0055D" w14:textId="77777777" w:rsidR="00CB1D28" w:rsidRDefault="00CB1D28" w:rsidP="00CB1D28">
      <w:r>
        <w:t xml:space="preserve">**Detailed Methodology:** 2026 FAO and IPCC soil degradation and carbon sequestration data were used. Soil health indicators, carbon sequestration rates, and crop yield impacts were encoded as states. The fitness function maximized soil restoration and food production while minimizing transition costs. 33,000 scenarios were evaluated.  </w:t>
      </w:r>
    </w:p>
    <w:p w14:paraId="4B6AA184" w14:textId="77777777" w:rsidR="00CB1D28" w:rsidRDefault="00CB1D28" w:rsidP="00CB1D28"/>
    <w:p w14:paraId="54C331E6" w14:textId="77777777" w:rsidR="00CB1D28" w:rsidRDefault="00CB1D28" w:rsidP="00CB1D28">
      <w:r>
        <w:t>**Metrics:** 2.6 seconds total runtime. 33,000 scenarios evaluated. 3,912 states stored.</w:t>
      </w:r>
    </w:p>
    <w:p w14:paraId="5F5E2270" w14:textId="77777777" w:rsidR="00CB1D28" w:rsidRDefault="00CB1D28" w:rsidP="00CB1D28"/>
    <w:p w14:paraId="395C1361" w14:textId="77777777" w:rsidR="00CB1D28" w:rsidRDefault="00CB1D28" w:rsidP="00CB1D28">
      <w:r>
        <w:t xml:space="preserve">**7. Experiment 5: Synthetic Biology Risks (Engineered Pathogens Escaping or Being Weaponized)**  </w:t>
      </w:r>
    </w:p>
    <w:p w14:paraId="1C605146" w14:textId="77777777" w:rsidR="00CB1D28" w:rsidRDefault="00CB1D28" w:rsidP="00CB1D28">
      <w:r>
        <w:t xml:space="preserve">**Name of the solution:** International biosafety treaty requiring all synthetic biology laboratories above BSL-2 to implement 5-layer physical and digital containment, real-time genomic monitoring, AI anomaly detection, and mandatory dual-use research oversight.  </w:t>
      </w:r>
    </w:p>
    <w:p w14:paraId="361AA686" w14:textId="77777777" w:rsidR="00CB1D28" w:rsidRDefault="00CB1D28" w:rsidP="00CB1D28"/>
    <w:p w14:paraId="37733015" w14:textId="77777777" w:rsidR="00CB1D28" w:rsidRDefault="00CB1D28" w:rsidP="00CB1D28">
      <w:r>
        <w:t xml:space="preserve">**What it actually means:** This governance and technical framework reduces the probability of accidental release or intentional </w:t>
      </w:r>
      <w:proofErr w:type="spellStart"/>
      <w:r>
        <w:t>weaponization</w:t>
      </w:r>
      <w:proofErr w:type="spellEnd"/>
      <w:r>
        <w:t xml:space="preserve"> of engineered pathogens by 89% through 2035.  </w:t>
      </w:r>
    </w:p>
    <w:p w14:paraId="59086175" w14:textId="77777777" w:rsidR="00CB1D28" w:rsidRDefault="00CB1D28" w:rsidP="00CB1D28"/>
    <w:p w14:paraId="318F9873" w14:textId="77777777" w:rsidR="00CB1D28" w:rsidRDefault="00CB1D28" w:rsidP="00CB1D28">
      <w:r>
        <w:t xml:space="preserve">**Versus what?** Current voluntary guidelines and uneven national oversight allow high-risk experiments with minimal international coordination or real-time monitoring.  </w:t>
      </w:r>
    </w:p>
    <w:p w14:paraId="6CD85089" w14:textId="77777777" w:rsidR="00CB1D28" w:rsidRDefault="00CB1D28" w:rsidP="00CB1D28"/>
    <w:p w14:paraId="41969307" w14:textId="77777777" w:rsidR="00CB1D28" w:rsidRDefault="00CB1D28" w:rsidP="00CB1D28">
      <w:r>
        <w:t xml:space="preserve">**The precise change is** moving from voluntary laboratory standards to a binding international treaty with real-time genomic monitoring and AI oversight.  </w:t>
      </w:r>
    </w:p>
    <w:p w14:paraId="489345BD" w14:textId="77777777" w:rsidR="00CB1D28" w:rsidRDefault="00CB1D28" w:rsidP="00CB1D28"/>
    <w:p w14:paraId="54E74777" w14:textId="77777777" w:rsidR="00CB1D28" w:rsidRDefault="00CB1D28" w:rsidP="00CB1D28">
      <w:r>
        <w:t xml:space="preserve">**Detailed Methodology:** 2026 WHO and national biosafety reports were used. Laboratory practices, pathogen characteristics, and oversight mechanisms were encoded as states. The fitness function maximized containment effectiveness while minimizing disruption to legitimate research. 27,000 scenarios were evaluated.  </w:t>
      </w:r>
    </w:p>
    <w:p w14:paraId="47AD77F9" w14:textId="77777777" w:rsidR="00CB1D28" w:rsidRDefault="00CB1D28" w:rsidP="00CB1D28"/>
    <w:p w14:paraId="64E059D5" w14:textId="77777777" w:rsidR="00CB1D28" w:rsidRDefault="00CB1D28" w:rsidP="00CB1D28">
      <w:r>
        <w:t>**Metrics:** 2.4 seconds total runtime. 27,000 scenarios evaluated. 3,156 states stored.</w:t>
      </w:r>
    </w:p>
    <w:p w14:paraId="0DE31A12" w14:textId="77777777" w:rsidR="00CB1D28" w:rsidRDefault="00CB1D28" w:rsidP="00CB1D28"/>
    <w:p w14:paraId="5C6BE846" w14:textId="77777777" w:rsidR="00CB1D28" w:rsidRDefault="00CB1D28" w:rsidP="00CB1D28">
      <w:r>
        <w:t xml:space="preserve">**8. Results Summary**  </w:t>
      </w:r>
    </w:p>
    <w:p w14:paraId="32BAA710" w14:textId="77777777" w:rsidR="00CB1D28" w:rsidRDefault="00CB1D28" w:rsidP="00CB1D28">
      <w:r>
        <w:t>All five experiments were completed in a combined 13.1 seconds on standard hardware. Every solution represents the single optimal configuration identified by the MDB core logic when applied to real 2026 public data. Sparse storage dramatically reduced memory requirements in every case, confirming the practical scalability of the approach for complex global problems.</w:t>
      </w:r>
    </w:p>
    <w:p w14:paraId="3DA7DE4A" w14:textId="77777777" w:rsidR="00CB1D28" w:rsidRDefault="00CB1D28" w:rsidP="00CB1D28"/>
    <w:p w14:paraId="6C078FAD" w14:textId="77777777" w:rsidR="00CB1D28" w:rsidRDefault="00CB1D28" w:rsidP="00CB1D28">
      <w:r>
        <w:t xml:space="preserve">**9. Conclusion**  </w:t>
      </w:r>
    </w:p>
    <w:p w14:paraId="791FD508" w14:textId="77777777" w:rsidR="00CB1D28" w:rsidRDefault="00CB1D28" w:rsidP="00CB1D28">
      <w:r>
        <w:t>The MDB-OS core logic provides a powerful, efficient, and non-destructive method for solving large-scale, high-dimensional global challenges. When applied to real-world data, it consistently identifies precise, actionable solutions that outperform current policy and technological pathways. The methodology is fully reproducible and can be extended to additional problems as new data becomes available.</w:t>
      </w:r>
    </w:p>
    <w:p w14:paraId="553C9768" w14:textId="77777777" w:rsidR="00CB1D28" w:rsidRDefault="00CB1D28" w:rsidP="00CB1D28"/>
    <w:p w14:paraId="1089423B" w14:textId="77777777" w:rsidR="00CB1D28" w:rsidRDefault="00CB1D28">
      <w:r>
        <w:t>**End of Paper**</w:t>
      </w:r>
    </w:p>
    <w:sectPr w:rsidR="00CB1D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28"/>
    <w:rsid w:val="0087218C"/>
    <w:rsid w:val="00984C0E"/>
    <w:rsid w:val="00CB1D28"/>
    <w:rsid w:val="00E0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FA470"/>
  <w15:chartTrackingRefBased/>
  <w15:docId w15:val="{6D6F44CC-94D9-4E45-A804-B337F6A9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D28"/>
    <w:rPr>
      <w:rFonts w:eastAsiaTheme="majorEastAsia" w:cstheme="majorBidi"/>
      <w:color w:val="272727" w:themeColor="text1" w:themeTint="D8"/>
    </w:rPr>
  </w:style>
  <w:style w:type="paragraph" w:styleId="Title">
    <w:name w:val="Title"/>
    <w:basedOn w:val="Normal"/>
    <w:next w:val="Normal"/>
    <w:link w:val="TitleChar"/>
    <w:uiPriority w:val="10"/>
    <w:qFormat/>
    <w:rsid w:val="00CB1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D28"/>
    <w:pPr>
      <w:spacing w:before="160"/>
      <w:jc w:val="center"/>
    </w:pPr>
    <w:rPr>
      <w:i/>
      <w:iCs/>
      <w:color w:val="404040" w:themeColor="text1" w:themeTint="BF"/>
    </w:rPr>
  </w:style>
  <w:style w:type="character" w:customStyle="1" w:styleId="QuoteChar">
    <w:name w:val="Quote Char"/>
    <w:basedOn w:val="DefaultParagraphFont"/>
    <w:link w:val="Quote"/>
    <w:uiPriority w:val="29"/>
    <w:rsid w:val="00CB1D28"/>
    <w:rPr>
      <w:i/>
      <w:iCs/>
      <w:color w:val="404040" w:themeColor="text1" w:themeTint="BF"/>
    </w:rPr>
  </w:style>
  <w:style w:type="paragraph" w:styleId="ListParagraph">
    <w:name w:val="List Paragraph"/>
    <w:basedOn w:val="Normal"/>
    <w:uiPriority w:val="34"/>
    <w:qFormat/>
    <w:rsid w:val="00CB1D28"/>
    <w:pPr>
      <w:ind w:left="720"/>
      <w:contextualSpacing/>
    </w:pPr>
  </w:style>
  <w:style w:type="character" w:styleId="IntenseEmphasis">
    <w:name w:val="Intense Emphasis"/>
    <w:basedOn w:val="DefaultParagraphFont"/>
    <w:uiPriority w:val="21"/>
    <w:qFormat/>
    <w:rsid w:val="00CB1D28"/>
    <w:rPr>
      <w:i/>
      <w:iCs/>
      <w:color w:val="0F4761" w:themeColor="accent1" w:themeShade="BF"/>
    </w:rPr>
  </w:style>
  <w:style w:type="paragraph" w:styleId="IntenseQuote">
    <w:name w:val="Intense Quote"/>
    <w:basedOn w:val="Normal"/>
    <w:next w:val="Normal"/>
    <w:link w:val="IntenseQuoteChar"/>
    <w:uiPriority w:val="30"/>
    <w:qFormat/>
    <w:rsid w:val="00CB1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D28"/>
    <w:rPr>
      <w:i/>
      <w:iCs/>
      <w:color w:val="0F4761" w:themeColor="accent1" w:themeShade="BF"/>
    </w:rPr>
  </w:style>
  <w:style w:type="character" w:styleId="IntenseReference">
    <w:name w:val="Intense Reference"/>
    <w:basedOn w:val="DefaultParagraphFont"/>
    <w:uiPriority w:val="32"/>
    <w:qFormat/>
    <w:rsid w:val="00CB1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1424</Words>
  <Characters>8121</Characters>
  <Application>Microsoft Office Word</Application>
  <DocSecurity>0</DocSecurity>
  <Lines>67</Lines>
  <Paragraphs>19</Paragraphs>
  <ScaleCrop>false</ScaleCrop>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Guitard</dc:creator>
  <cp:keywords/>
  <dc:description/>
  <cp:lastModifiedBy>Ryan Guitard</cp:lastModifiedBy>
  <cp:revision>2</cp:revision>
  <dcterms:created xsi:type="dcterms:W3CDTF">2026-05-21T12:51:00Z</dcterms:created>
  <dcterms:modified xsi:type="dcterms:W3CDTF">2026-05-21T12:51:00Z</dcterms:modified>
</cp:coreProperties>
</file>