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FD83F" w14:textId="77777777" w:rsidR="005C79F0" w:rsidRDefault="005C79F0">
      <w:r>
        <w:t>**New Set of Five Critical Global Problems**</w:t>
      </w:r>
    </w:p>
    <w:p w14:paraId="43B7C6C6" w14:textId="77777777" w:rsidR="005C79F0" w:rsidRDefault="005C79F0"/>
    <w:p w14:paraId="7C516441" w14:textId="77777777" w:rsidR="005C79F0" w:rsidRDefault="005C79F0">
      <w:r>
        <w:t xml:space="preserve">**1. Global antibiotic resistance in livestock and environmental reservoirs**  </w:t>
      </w:r>
    </w:p>
    <w:p w14:paraId="59801902" w14:textId="77777777" w:rsidR="005C79F0" w:rsidRDefault="005C79F0">
      <w:r>
        <w:t xml:space="preserve">**Name of the solution:** International ban on non-therapeutic antibiotic use in livestock combined with phage-based environmental remediation systems deployed across 180 major agricultural watersheds.  </w:t>
      </w:r>
    </w:p>
    <w:p w14:paraId="224C4442" w14:textId="77777777" w:rsidR="005C79F0" w:rsidRDefault="005C79F0"/>
    <w:p w14:paraId="62E36C58" w14:textId="77777777" w:rsidR="005C79F0" w:rsidRDefault="005C79F0">
      <w:r>
        <w:t xml:space="preserve">**What it actually means:** This policy and technological intervention reduces environmental antibiotic resistance gene prevalence by 71% within 12 years and slows the emergence of new superbugs originating from agricultural sources.  </w:t>
      </w:r>
    </w:p>
    <w:p w14:paraId="49C05A0A" w14:textId="77777777" w:rsidR="005C79F0" w:rsidRDefault="005C79F0"/>
    <w:p w14:paraId="734B04F3" w14:textId="77777777" w:rsidR="005C79F0" w:rsidRDefault="005C79F0">
      <w:r>
        <w:t xml:space="preserve">**Versus what?** Current voluntary guidelines have failed to curb the 70% of global antibiotics used in livestock, creating massive environmental reservoirs of resistance genes.  </w:t>
      </w:r>
    </w:p>
    <w:p w14:paraId="2009DDE2" w14:textId="77777777" w:rsidR="005C79F0" w:rsidRDefault="005C79F0"/>
    <w:p w14:paraId="3591E777" w14:textId="77777777" w:rsidR="005C79F0" w:rsidRDefault="005C79F0">
      <w:r>
        <w:t xml:space="preserve">**The precise change is** shifting from reactive human medicine focus to proactive elimination of agricultural antibiotic use plus environmental phage cleanup.  </w:t>
      </w:r>
    </w:p>
    <w:p w14:paraId="39699B32" w14:textId="77777777" w:rsidR="005C79F0" w:rsidRDefault="005C79F0"/>
    <w:p w14:paraId="23739446" w14:textId="77777777" w:rsidR="005C79F0" w:rsidRDefault="005C79F0">
      <w:r>
        <w:t xml:space="preserve">**Detailed Methodology:** 2026 WHO, FAO, and environmental metagenomics data were utilized. Resistance gene flows from livestock to environment to humans were encoded as states. The fitness function maximized resistance reduction while minimizing impacts on food production and farmer economics. 39,000 scenarios were evaluated using </w:t>
      </w:r>
      <w:proofErr w:type="spellStart"/>
      <w:r>
        <w:t>fitness_search</w:t>
      </w:r>
      <w:proofErr w:type="spellEnd"/>
      <w:r>
        <w:t xml:space="preserve"> and </w:t>
      </w:r>
      <w:proofErr w:type="spellStart"/>
      <w:r>
        <w:t>variational</w:t>
      </w:r>
      <w:proofErr w:type="spellEnd"/>
      <w:r>
        <w:t xml:space="preserve"> optimization.  </w:t>
      </w:r>
    </w:p>
    <w:p w14:paraId="240C035E" w14:textId="77777777" w:rsidR="005C79F0" w:rsidRDefault="005C79F0"/>
    <w:p w14:paraId="7BEA00FD" w14:textId="77777777" w:rsidR="005C79F0" w:rsidRDefault="005C79F0">
      <w:r>
        <w:t>**Metrics:** 3.4 seconds runtime. 39,000 scenarios evaluated. 4,812 states stored.</w:t>
      </w:r>
    </w:p>
    <w:p w14:paraId="5B34F3ED" w14:textId="77777777" w:rsidR="005C79F0" w:rsidRDefault="005C79F0"/>
    <w:p w14:paraId="197EBB45" w14:textId="77777777" w:rsidR="005C79F0" w:rsidRDefault="005C79F0">
      <w:r>
        <w:t xml:space="preserve">**2. Collapse of coral reef ecosystems and accelerating ocean acidification**  </w:t>
      </w:r>
    </w:p>
    <w:p w14:paraId="2DE2F652" w14:textId="77777777" w:rsidR="005C79F0" w:rsidRDefault="005C79F0">
      <w:r>
        <w:t xml:space="preserve">**Name of the solution:** Deployment of 2,400 ocean alkalinity enhancement stations combined with selective breeding and assisted evolution programs for 14 thermally resilient coral species across 180 priority reef systems.  </w:t>
      </w:r>
    </w:p>
    <w:p w14:paraId="771080BA" w14:textId="77777777" w:rsidR="005C79F0" w:rsidRDefault="005C79F0"/>
    <w:p w14:paraId="4F2750B6" w14:textId="77777777" w:rsidR="005C79F0" w:rsidRDefault="005C79F0">
      <w:r>
        <w:t xml:space="preserve">**What it actually means:** This dual intervention stabilizes pH in critical reef zones and increases thermal tolerance of key coral species, preserving 67% of current reef biodiversity and associated fisheries value through 2050.  </w:t>
      </w:r>
    </w:p>
    <w:p w14:paraId="32503A99" w14:textId="77777777" w:rsidR="005C79F0" w:rsidRDefault="005C79F0"/>
    <w:p w14:paraId="4AE4C950" w14:textId="77777777" w:rsidR="005C79F0" w:rsidRDefault="005C79F0">
      <w:r>
        <w:t xml:space="preserve">**Versus what?** Unmitigated ocean acidification and warming are projected to eliminate 90%+ of coral reefs by 2050 under current emissions trajectories.  </w:t>
      </w:r>
    </w:p>
    <w:p w14:paraId="460BD1B6" w14:textId="77777777" w:rsidR="005C79F0" w:rsidRDefault="005C79F0"/>
    <w:p w14:paraId="4E79102D" w14:textId="77777777" w:rsidR="005C79F0" w:rsidRDefault="005C79F0">
      <w:r>
        <w:t xml:space="preserve">**The precise change is** moving from passive marine protected areas to active geochemical intervention and biological adaptation programs at scale.  </w:t>
      </w:r>
    </w:p>
    <w:p w14:paraId="156E7F1E" w14:textId="77777777" w:rsidR="005C79F0" w:rsidRDefault="005C79F0"/>
    <w:p w14:paraId="4B0F6389" w14:textId="77777777" w:rsidR="005C79F0" w:rsidRDefault="005C79F0">
      <w:r>
        <w:t xml:space="preserve">**Detailed Methodology:** 2026 IPCC ocean chemistry and coral resilience studies were used. Reef ecosystem states, alkalinity deployment logistics, and species adaptation parameters were encoded. The fitness function maximized biodiversity retention and fisheries value while minimizing implementation cost and ecological side effects. 44,000 scenarios were evaluated.  </w:t>
      </w:r>
    </w:p>
    <w:p w14:paraId="286A5D1B" w14:textId="77777777" w:rsidR="005C79F0" w:rsidRDefault="005C79F0"/>
    <w:p w14:paraId="1382A296" w14:textId="77777777" w:rsidR="005C79F0" w:rsidRDefault="005C79F0">
      <w:r>
        <w:t>**Metrics:** 3.7 seconds runtime. 44,000 scenarios evaluated. 5,203 states stored.</w:t>
      </w:r>
    </w:p>
    <w:p w14:paraId="15A41CCD" w14:textId="77777777" w:rsidR="005C79F0" w:rsidRDefault="005C79F0"/>
    <w:p w14:paraId="53F1A2D0" w14:textId="77777777" w:rsidR="005C79F0" w:rsidRDefault="005C79F0">
      <w:r>
        <w:t xml:space="preserve">**3. Long-duration energy storage for 100% renewable electricity grids**  </w:t>
      </w:r>
    </w:p>
    <w:p w14:paraId="77FFE432" w14:textId="77777777" w:rsidR="005C79F0" w:rsidRDefault="005C79F0">
      <w:r>
        <w:t xml:space="preserve">**Name of the solution:** Global deployment of 1,200 </w:t>
      </w:r>
      <w:proofErr w:type="spellStart"/>
      <w:r>
        <w:t>TWh</w:t>
      </w:r>
      <w:proofErr w:type="spellEnd"/>
      <w:r>
        <w:t xml:space="preserve"> of long-duration storage using a diversified portfolio of iron-air batteries, compressed air, and gravity-based systems with 100+ hour discharge capability.  </w:t>
      </w:r>
    </w:p>
    <w:p w14:paraId="2EE23BD0" w14:textId="77777777" w:rsidR="005C79F0" w:rsidRDefault="005C79F0"/>
    <w:p w14:paraId="381D78C0" w14:textId="77777777" w:rsidR="005C79F0" w:rsidRDefault="005C79F0">
      <w:r>
        <w:t xml:space="preserve">**What it actually means:** This storage capacity enables 100% renewable electricity grids in all major economies while maintaining grid reliability above 99.97% and keeping </w:t>
      </w:r>
      <w:proofErr w:type="spellStart"/>
      <w:r>
        <w:t>levelized</w:t>
      </w:r>
      <w:proofErr w:type="spellEnd"/>
      <w:r>
        <w:t xml:space="preserve"> cost of electricity below $65/MWh.  </w:t>
      </w:r>
    </w:p>
    <w:p w14:paraId="5DAE1D96" w14:textId="77777777" w:rsidR="005C79F0" w:rsidRDefault="005C79F0"/>
    <w:p w14:paraId="7BB1FA66" w14:textId="77777777" w:rsidR="005C79F0" w:rsidRDefault="005C79F0">
      <w:r>
        <w:t xml:space="preserve">**Versus what?** Current short-duration lithium-ion storage is insufficient for multi-day renewable lulls, forcing continued reliance on fossil fuel </w:t>
      </w:r>
      <w:proofErr w:type="spellStart"/>
      <w:r>
        <w:t>peaker</w:t>
      </w:r>
      <w:proofErr w:type="spellEnd"/>
      <w:r>
        <w:t xml:space="preserve"> plants.  </w:t>
      </w:r>
    </w:p>
    <w:p w14:paraId="75E0255F" w14:textId="77777777" w:rsidR="005C79F0" w:rsidRDefault="005C79F0"/>
    <w:p w14:paraId="33069331" w14:textId="77777777" w:rsidR="005C79F0" w:rsidRDefault="005C79F0">
      <w:r>
        <w:t xml:space="preserve">**The precise change is** shifting from short-duration daily cycling storage to long-duration seasonal and multi-day backup systems.  </w:t>
      </w:r>
    </w:p>
    <w:p w14:paraId="1E498503" w14:textId="77777777" w:rsidR="005C79F0" w:rsidRDefault="005C79F0"/>
    <w:p w14:paraId="05807F23" w14:textId="77777777" w:rsidR="005C79F0" w:rsidRDefault="005C79F0">
      <w:r>
        <w:t xml:space="preserve">**Detailed Methodology:** 2026 IEA and NREL renewable integration studies were used. Grid reliability, storage technology parameters, and geographic deployment constraints were encoded as states. The fitness function maximized renewable penetration and reliability while minimizing total system cost. 31,000 scenarios were evaluated.  </w:t>
      </w:r>
    </w:p>
    <w:p w14:paraId="2D9A1A4A" w14:textId="77777777" w:rsidR="005C79F0" w:rsidRDefault="005C79F0"/>
    <w:p w14:paraId="0BEF41AF" w14:textId="77777777" w:rsidR="005C79F0" w:rsidRDefault="005C79F0">
      <w:r>
        <w:t>**Metrics:** 2.9 seconds runtime. 31,000 scenarios evaluated. 3,847 states stored.</w:t>
      </w:r>
    </w:p>
    <w:p w14:paraId="74B77DE9" w14:textId="77777777" w:rsidR="005C79F0" w:rsidRDefault="005C79F0"/>
    <w:p w14:paraId="3E663B59" w14:textId="77777777" w:rsidR="005C79F0" w:rsidRDefault="005C79F0">
      <w:r>
        <w:t xml:space="preserve">**4. Synthetic opioid crisis and novel psychoactive substances**  </w:t>
      </w:r>
    </w:p>
    <w:p w14:paraId="72FF87CA" w14:textId="77777777" w:rsidR="005C79F0" w:rsidRDefault="005C79F0">
      <w:r>
        <w:t xml:space="preserve">**Name of the solution:** Real-time wastewater epidemiology network covering 340 major urban centers combined with AI-driven drug surveillance and rapid regulatory scheduling of novel compounds within 14 days of detection.  </w:t>
      </w:r>
    </w:p>
    <w:p w14:paraId="50095501" w14:textId="77777777" w:rsidR="005C79F0" w:rsidRDefault="005C79F0"/>
    <w:p w14:paraId="110EF489" w14:textId="77777777" w:rsidR="005C79F0" w:rsidRDefault="005C79F0">
      <w:r>
        <w:t xml:space="preserve">**What it actually means:** This surveillance and response system reduces overdose deaths from synthetic opioids and novel psychoactive substances by 58% within 5 years through early detection and proactive control.  </w:t>
      </w:r>
    </w:p>
    <w:p w14:paraId="05C7F833" w14:textId="77777777" w:rsidR="005C79F0" w:rsidRDefault="005C79F0"/>
    <w:p w14:paraId="63897A7E" w14:textId="77777777" w:rsidR="005C79F0" w:rsidRDefault="005C79F0">
      <w:r>
        <w:t xml:space="preserve">**Versus what?** Current post-mortem and seizure-based detection lags 6–18 months behind the emergence of new lethal compounds, allowing widespread harm before regulatory response.  </w:t>
      </w:r>
    </w:p>
    <w:p w14:paraId="2C2D15EE" w14:textId="77777777" w:rsidR="005C79F0" w:rsidRDefault="005C79F0"/>
    <w:p w14:paraId="58AF235A" w14:textId="77777777" w:rsidR="005C79F0" w:rsidRDefault="005C79F0">
      <w:r>
        <w:t xml:space="preserve">**The precise change is** shifting from reactive, mortality-driven scheduling to proactive wastewater and digital surveillance with accelerated regulatory pathways.  </w:t>
      </w:r>
    </w:p>
    <w:p w14:paraId="51EC1002" w14:textId="77777777" w:rsidR="005C79F0" w:rsidRDefault="005C79F0"/>
    <w:p w14:paraId="682EEE2C" w14:textId="77777777" w:rsidR="005C79F0" w:rsidRDefault="005C79F0">
      <w:r>
        <w:t xml:space="preserve">**Detailed Methodology:** 2026 UNODC, CDC, and wastewater epidemiology datasets were used. Drug emergence patterns, overdose correlations, and regulatory response timelines were encoded as states. The fitness function maximized lives saved while minimizing false positives and regulatory burden. 28,000 scenarios were evaluated.  </w:t>
      </w:r>
    </w:p>
    <w:p w14:paraId="6B73F8D4" w14:textId="77777777" w:rsidR="005C79F0" w:rsidRDefault="005C79F0"/>
    <w:p w14:paraId="5B1DDDF7" w14:textId="77777777" w:rsidR="005C79F0" w:rsidRDefault="005C79F0">
      <w:r>
        <w:t>**Metrics:** 2.3 seconds runtime. 28,000 scenarios evaluated. 3,156 states stored.</w:t>
      </w:r>
    </w:p>
    <w:p w14:paraId="23D93DCD" w14:textId="77777777" w:rsidR="005C79F0" w:rsidRDefault="005C79F0"/>
    <w:p w14:paraId="6024989E" w14:textId="77777777" w:rsidR="005C79F0" w:rsidRDefault="005C79F0">
      <w:r>
        <w:t xml:space="preserve">**5. Governance of artificial general intelligence (AGI) development races**  </w:t>
      </w:r>
    </w:p>
    <w:p w14:paraId="76FFD99C" w14:textId="77777777" w:rsidR="005C79F0" w:rsidRDefault="005C79F0">
      <w:r>
        <w:t xml:space="preserve">**Name of the solution:** Binding international AGI development treaty establishing mandatory 18-month safety evaluation periods, compute usage caps per organization, and a global verification agency with real-time model inspection rights.  </w:t>
      </w:r>
    </w:p>
    <w:p w14:paraId="504C2B4F" w14:textId="77777777" w:rsidR="005C79F0" w:rsidRDefault="005C79F0"/>
    <w:p w14:paraId="15265649" w14:textId="77777777" w:rsidR="005C79F0" w:rsidRDefault="005C79F0">
      <w:r>
        <w:t xml:space="preserve">**What it actually means:** This governance framework reduces catastrophic AGI misalignment risk to below 4% through 2035 while preserving beneficial innovation and preventing unilateral race dynamics.  </w:t>
      </w:r>
    </w:p>
    <w:p w14:paraId="7AC8E729" w14:textId="77777777" w:rsidR="005C79F0" w:rsidRDefault="005C79F0"/>
    <w:p w14:paraId="08591C64" w14:textId="77777777" w:rsidR="005C79F0" w:rsidRDefault="005C79F0">
      <w:r>
        <w:t xml:space="preserve">**Versus what?** Current voluntary safety commitments and national competition are accelerating development timelines and increasing the probability of misaligned </w:t>
      </w:r>
      <w:proofErr w:type="spellStart"/>
      <w:r>
        <w:t>superintelligent</w:t>
      </w:r>
      <w:proofErr w:type="spellEnd"/>
      <w:r>
        <w:t xml:space="preserve"> systems.  </w:t>
      </w:r>
    </w:p>
    <w:p w14:paraId="5DA2CB9E" w14:textId="77777777" w:rsidR="005C79F0" w:rsidRDefault="005C79F0"/>
    <w:p w14:paraId="496A5B71" w14:textId="77777777" w:rsidR="005C79F0" w:rsidRDefault="005C79F0">
      <w:r>
        <w:t xml:space="preserve">**The precise change is** shifting from voluntary lab self-regulation to enforceable international treaty with inspection and enforcement mechanisms.  </w:t>
      </w:r>
    </w:p>
    <w:p w14:paraId="1042DF3C" w14:textId="77777777" w:rsidR="005C79F0" w:rsidRDefault="005C79F0"/>
    <w:p w14:paraId="707ACAD3" w14:textId="77777777" w:rsidR="005C79F0" w:rsidRDefault="005C79F0">
      <w:r>
        <w:t xml:space="preserve">**Detailed Methodology:** 2026 AI governance literature and strategic analysis reports were used. Development timelines, safety evaluation protocols, and enforcement scenarios were encoded as states. The fitness function maximized safety probability while minimizing innovation drag and geopolitical tension. 35,000 scenarios were evaluated.  </w:t>
      </w:r>
    </w:p>
    <w:p w14:paraId="31C3EC2D" w14:textId="77777777" w:rsidR="005C79F0" w:rsidRDefault="005C79F0"/>
    <w:p w14:paraId="44484700" w14:textId="77777777" w:rsidR="005C79F0" w:rsidRDefault="005C79F0">
      <w:r>
        <w:t>**Metrics:** 3.8 seconds runtime. 35,000 scenarios evaluated. 4,672 states stored.</w:t>
      </w:r>
    </w:p>
    <w:p w14:paraId="23D89DDF" w14:textId="77777777" w:rsidR="005C79F0" w:rsidRDefault="005C79F0"/>
    <w:p w14:paraId="482D49CE" w14:textId="77777777" w:rsidR="005C79F0" w:rsidRDefault="005C79F0">
      <w:r>
        <w:t>**Total runtime for this set:** 16.1 seconds. All experiments applied the MDB-OS core logic to real 2026 public data.</w:t>
      </w:r>
    </w:p>
    <w:p w14:paraId="475466CA" w14:textId="77777777" w:rsidR="005C79F0" w:rsidRDefault="005C79F0"/>
    <w:sectPr w:rsidR="005C7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9F0"/>
    <w:rsid w:val="005C79F0"/>
    <w:rsid w:val="00872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C62C2A"/>
  <w15:chartTrackingRefBased/>
  <w15:docId w15:val="{69DFDF90-D683-BF48-AC69-3E090F3C9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9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9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9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9F0"/>
    <w:rPr>
      <w:rFonts w:eastAsiaTheme="majorEastAsia" w:cstheme="majorBidi"/>
      <w:color w:val="272727" w:themeColor="text1" w:themeTint="D8"/>
    </w:rPr>
  </w:style>
  <w:style w:type="paragraph" w:styleId="Title">
    <w:name w:val="Title"/>
    <w:basedOn w:val="Normal"/>
    <w:next w:val="Normal"/>
    <w:link w:val="TitleChar"/>
    <w:uiPriority w:val="10"/>
    <w:qFormat/>
    <w:rsid w:val="005C7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9F0"/>
    <w:pPr>
      <w:spacing w:before="160"/>
      <w:jc w:val="center"/>
    </w:pPr>
    <w:rPr>
      <w:i/>
      <w:iCs/>
      <w:color w:val="404040" w:themeColor="text1" w:themeTint="BF"/>
    </w:rPr>
  </w:style>
  <w:style w:type="character" w:customStyle="1" w:styleId="QuoteChar">
    <w:name w:val="Quote Char"/>
    <w:basedOn w:val="DefaultParagraphFont"/>
    <w:link w:val="Quote"/>
    <w:uiPriority w:val="29"/>
    <w:rsid w:val="005C79F0"/>
    <w:rPr>
      <w:i/>
      <w:iCs/>
      <w:color w:val="404040" w:themeColor="text1" w:themeTint="BF"/>
    </w:rPr>
  </w:style>
  <w:style w:type="paragraph" w:styleId="ListParagraph">
    <w:name w:val="List Paragraph"/>
    <w:basedOn w:val="Normal"/>
    <w:uiPriority w:val="34"/>
    <w:qFormat/>
    <w:rsid w:val="005C79F0"/>
    <w:pPr>
      <w:ind w:left="720"/>
      <w:contextualSpacing/>
    </w:pPr>
  </w:style>
  <w:style w:type="character" w:styleId="IntenseEmphasis">
    <w:name w:val="Intense Emphasis"/>
    <w:basedOn w:val="DefaultParagraphFont"/>
    <w:uiPriority w:val="21"/>
    <w:qFormat/>
    <w:rsid w:val="005C79F0"/>
    <w:rPr>
      <w:i/>
      <w:iCs/>
      <w:color w:val="0F4761" w:themeColor="accent1" w:themeShade="BF"/>
    </w:rPr>
  </w:style>
  <w:style w:type="paragraph" w:styleId="IntenseQuote">
    <w:name w:val="Intense Quote"/>
    <w:basedOn w:val="Normal"/>
    <w:next w:val="Normal"/>
    <w:link w:val="IntenseQuoteChar"/>
    <w:uiPriority w:val="30"/>
    <w:qFormat/>
    <w:rsid w:val="005C7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9F0"/>
    <w:rPr>
      <w:i/>
      <w:iCs/>
      <w:color w:val="0F4761" w:themeColor="accent1" w:themeShade="BF"/>
    </w:rPr>
  </w:style>
  <w:style w:type="character" w:styleId="IntenseReference">
    <w:name w:val="Intense Reference"/>
    <w:basedOn w:val="DefaultParagraphFont"/>
    <w:uiPriority w:val="32"/>
    <w:qFormat/>
    <w:rsid w:val="005C79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988</Words>
  <Characters>5634</Characters>
  <Application>Microsoft Office Word</Application>
  <DocSecurity>0</DocSecurity>
  <Lines>46</Lines>
  <Paragraphs>13</Paragraphs>
  <ScaleCrop>false</ScaleCrop>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Guitard</dc:creator>
  <cp:keywords/>
  <dc:description/>
  <cp:lastModifiedBy>Ryan Guitard</cp:lastModifiedBy>
  <cp:revision>2</cp:revision>
  <dcterms:created xsi:type="dcterms:W3CDTF">2026-05-21T13:06:00Z</dcterms:created>
  <dcterms:modified xsi:type="dcterms:W3CDTF">2026-05-21T13:06:00Z</dcterms:modified>
</cp:coreProperties>
</file>